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FEC3D" w14:textId="52B6BC05" w:rsidR="00FE407B" w:rsidRPr="00925C57" w:rsidRDefault="00FE407B" w:rsidP="00FE407B">
      <w:pPr>
        <w:pStyle w:val="MDPI11articletype"/>
        <w:rPr>
          <w:rFonts w:ascii="Times New Roman" w:hAnsi="Times New Roman"/>
        </w:rPr>
      </w:pPr>
      <w:r w:rsidRPr="00925C57">
        <w:rPr>
          <w:rFonts w:eastAsia="SimSun" w:hint="eastAsia"/>
        </w:rPr>
        <w:t>Article</w:t>
      </w:r>
    </w:p>
    <w:p w14:paraId="68C7B690" w14:textId="4F5D21FA" w:rsidR="00986A85" w:rsidRPr="00925C57" w:rsidRDefault="00925C57" w:rsidP="00FE407B">
      <w:pPr>
        <w:pStyle w:val="MDPI12title"/>
        <w:rPr>
          <w:rFonts w:ascii="Times New Roman" w:hAnsi="Times New Roman"/>
          <w:b w:val="0"/>
          <w:sz w:val="24"/>
          <w:szCs w:val="24"/>
        </w:rPr>
      </w:pPr>
      <w:r w:rsidRPr="00925C57">
        <w:rPr>
          <w:i/>
        </w:rPr>
        <w:t>In Silico</w:t>
      </w:r>
      <w:r w:rsidRPr="00925C57">
        <w:t xml:space="preserve"> Studies Reveal Peramivir </w:t>
      </w:r>
      <w:r>
        <w:t>a</w:t>
      </w:r>
      <w:r w:rsidRPr="00925C57">
        <w:t>nd</w:t>
      </w:r>
      <w:r w:rsidRPr="00925C57">
        <w:rPr>
          <w:color w:val="0000FF"/>
        </w:rPr>
        <w:t xml:space="preserve"> </w:t>
      </w:r>
      <w:r w:rsidRPr="00925C57">
        <w:t xml:space="preserve">Zanamivir </w:t>
      </w:r>
      <w:r>
        <w:t>a</w:t>
      </w:r>
      <w:r w:rsidRPr="00925C57">
        <w:t xml:space="preserve">s </w:t>
      </w:r>
      <w:r>
        <w:t>a</w:t>
      </w:r>
      <w:r w:rsidRPr="00925C57">
        <w:t xml:space="preserve">n Optimal Drug Treatment Even </w:t>
      </w:r>
      <w:r>
        <w:t>i</w:t>
      </w:r>
      <w:r w:rsidRPr="00925C57">
        <w:t>f H7</w:t>
      </w:r>
      <w:r w:rsidR="002E0011">
        <w:t>N</w:t>
      </w:r>
      <w:r w:rsidRPr="00925C57">
        <w:t>9 Avian Type Influenza Virus Acquires Further Resistance</w:t>
      </w:r>
    </w:p>
    <w:p w14:paraId="509DB1B1" w14:textId="77777777" w:rsidR="00925C57" w:rsidRPr="00925C57" w:rsidRDefault="0007329D" w:rsidP="00FE407B">
      <w:pPr>
        <w:pStyle w:val="MDPI13authornames"/>
      </w:pPr>
      <w:r w:rsidRPr="00925C57">
        <w:t>Edita Sarukhanyan</w:t>
      </w:r>
      <w:r w:rsidR="000F5044" w:rsidRPr="00925C57">
        <w:rPr>
          <w:vertAlign w:val="superscript"/>
        </w:rPr>
        <w:t>1</w:t>
      </w:r>
      <w:r w:rsidRPr="00925C57">
        <w:t xml:space="preserve">, </w:t>
      </w:r>
      <w:proofErr w:type="spellStart"/>
      <w:r w:rsidR="00EE1744" w:rsidRPr="00925C57">
        <w:t>Tipack</w:t>
      </w:r>
      <w:proofErr w:type="spellEnd"/>
      <w:r w:rsidR="00EE1744" w:rsidRPr="00925C57">
        <w:t xml:space="preserve"> </w:t>
      </w:r>
      <w:proofErr w:type="spellStart"/>
      <w:r w:rsidR="00383749" w:rsidRPr="00925C57">
        <w:t>Ayothyapattanam</w:t>
      </w:r>
      <w:proofErr w:type="spellEnd"/>
      <w:r w:rsidR="00383749" w:rsidRPr="00925C57">
        <w:t xml:space="preserve"> Shanmugam</w:t>
      </w:r>
      <w:r w:rsidR="000F5044" w:rsidRPr="00925C57">
        <w:rPr>
          <w:vertAlign w:val="superscript"/>
        </w:rPr>
        <w:t>1</w:t>
      </w:r>
      <w:r w:rsidR="002772E6" w:rsidRPr="00925C57">
        <w:t xml:space="preserve"> and </w:t>
      </w:r>
      <w:r w:rsidRPr="00925C57">
        <w:t>Thomas Dandekar</w:t>
      </w:r>
      <w:r w:rsidR="000F5044" w:rsidRPr="00925C57">
        <w:rPr>
          <w:vertAlign w:val="superscript"/>
        </w:rPr>
        <w:t>1</w:t>
      </w:r>
      <w:r w:rsidRPr="00925C57">
        <w:t>*</w:t>
      </w:r>
    </w:p>
    <w:p w14:paraId="45B13AA4" w14:textId="77777777" w:rsidR="000F5044" w:rsidRPr="00925C57" w:rsidRDefault="000F5044" w:rsidP="00FE407B">
      <w:pPr>
        <w:pStyle w:val="MDPI16affiliation"/>
        <w:ind w:left="2608" w:firstLine="0"/>
      </w:pPr>
      <w:r w:rsidRPr="00925C57">
        <w:rPr>
          <w:vertAlign w:val="superscript"/>
        </w:rPr>
        <w:t>1</w:t>
      </w:r>
      <w:r w:rsidRPr="00925C57">
        <w:t xml:space="preserve">Department of Bioinformatics, </w:t>
      </w:r>
      <w:proofErr w:type="spellStart"/>
      <w:r w:rsidRPr="00925C57">
        <w:t>Biocenter</w:t>
      </w:r>
      <w:proofErr w:type="spellEnd"/>
      <w:r w:rsidRPr="00925C57">
        <w:t xml:space="preserve">, Am </w:t>
      </w:r>
      <w:proofErr w:type="spellStart"/>
      <w:r w:rsidRPr="00925C57">
        <w:t>Hubland</w:t>
      </w:r>
      <w:proofErr w:type="spellEnd"/>
      <w:r w:rsidRPr="00925C57">
        <w:t>, University of Würzburg, 97074 Würzburg, Germany</w:t>
      </w:r>
    </w:p>
    <w:p w14:paraId="0796EB2F" w14:textId="7CF52D24" w:rsidR="00FE407B" w:rsidRPr="000C763F" w:rsidRDefault="00FE407B" w:rsidP="000C763F">
      <w:pPr>
        <w:pStyle w:val="MDPI16affiliation"/>
        <w:rPr>
          <w:rFonts w:ascii="Times New Roman" w:hAnsi="Times New Roman"/>
          <w:color w:val="0563C1" w:themeColor="hyperlink"/>
          <w:sz w:val="24"/>
          <w:szCs w:val="24"/>
          <w:u w:val="single"/>
        </w:rPr>
      </w:pPr>
      <w:r w:rsidRPr="00925C57">
        <w:rPr>
          <w:b/>
        </w:rPr>
        <w:t>*</w:t>
      </w:r>
      <w:r w:rsidRPr="00925C57">
        <w:tab/>
        <w:t xml:space="preserve">Correspondence: </w:t>
      </w:r>
      <w:hyperlink r:id="rId8">
        <w:r w:rsidRPr="00925C57">
          <w:t>dandekar@biozentrum.uni-wuerzburg.de</w:t>
        </w:r>
      </w:hyperlink>
      <w:r w:rsidRPr="00925C57">
        <w:t xml:space="preserve">, </w:t>
      </w:r>
      <w:r w:rsidR="000F5044" w:rsidRPr="00925C57">
        <w:t>Phone: +49-931-318-4551; Fax: +49-931-318-4552</w:t>
      </w:r>
    </w:p>
    <w:tbl>
      <w:tblPr>
        <w:tblStyle w:val="MDPITable"/>
        <w:tblpPr w:leftFromText="198" w:rightFromText="198" w:vertAnchor="page" w:horzAnchor="margin" w:tblpY="6196"/>
        <w:tblW w:w="2409" w:type="dxa"/>
        <w:tblLayout w:type="fixed"/>
        <w:tblLook w:val="04A0" w:firstRow="1" w:lastRow="0" w:firstColumn="1" w:lastColumn="0" w:noHBand="0" w:noVBand="1"/>
      </w:tblPr>
      <w:tblGrid>
        <w:gridCol w:w="2409"/>
      </w:tblGrid>
      <w:tr w:rsidR="00925C57" w:rsidRPr="00325F80" w14:paraId="22AC6CA7" w14:textId="77777777" w:rsidTr="00925C57">
        <w:trPr>
          <w:cantSplit/>
        </w:trPr>
        <w:tc>
          <w:tcPr>
            <w:tcW w:w="2409" w:type="dxa"/>
          </w:tcPr>
          <w:p w14:paraId="637717F5" w14:textId="77777777" w:rsidR="00925C57" w:rsidRPr="00925C57" w:rsidRDefault="00925C57" w:rsidP="00925C57">
            <w:pPr>
              <w:pStyle w:val="MDPI61Citation"/>
              <w:rPr>
                <w:rFonts w:ascii="Times New Roman" w:hAnsi="Times New Roman"/>
                <w:sz w:val="24"/>
                <w:szCs w:val="24"/>
              </w:rPr>
            </w:pPr>
            <w:r w:rsidRPr="00925C57">
              <w:rPr>
                <w:b/>
              </w:rPr>
              <w:t>Citation:</w:t>
            </w:r>
            <w:r w:rsidRPr="00925C57">
              <w:t xml:space="preserve"> Sarukhanyan, E.; Shanmugam, T.A.; Dandekar, T. </w:t>
            </w:r>
            <w:r w:rsidRPr="00925C57">
              <w:rPr>
                <w:i/>
              </w:rPr>
              <w:t>In silico</w:t>
            </w:r>
            <w:r w:rsidRPr="00925C57">
              <w:t xml:space="preserve"> studies reveal Peramivir and</w:t>
            </w:r>
            <w:r w:rsidRPr="00925C57">
              <w:rPr>
                <w:color w:val="0000FF"/>
              </w:rPr>
              <w:t xml:space="preserve"> </w:t>
            </w:r>
            <w:r w:rsidRPr="00925C57">
              <w:t xml:space="preserve">Zanamivir as an optimal drug treatment even if H7N9 avian type influenza virus acquires further resistance. </w:t>
            </w:r>
            <w:r w:rsidRPr="00925C57">
              <w:rPr>
                <w:i/>
              </w:rPr>
              <w:t xml:space="preserve">Molecules </w:t>
            </w:r>
            <w:r w:rsidRPr="00925C57">
              <w:rPr>
                <w:b/>
              </w:rPr>
              <w:t>2022</w:t>
            </w:r>
            <w:r w:rsidRPr="00925C57">
              <w:t xml:space="preserve">, </w:t>
            </w:r>
            <w:r w:rsidRPr="00925C57">
              <w:rPr>
                <w:i/>
              </w:rPr>
              <w:t>26</w:t>
            </w:r>
            <w:r w:rsidRPr="00925C57">
              <w:t>, x. https://doi.org/10.3390/xxxxx</w:t>
            </w:r>
          </w:p>
          <w:p w14:paraId="6ADF0E15" w14:textId="77777777" w:rsidR="00925C57" w:rsidRPr="00925C57" w:rsidRDefault="00925C57" w:rsidP="00925C57">
            <w:pPr>
              <w:pStyle w:val="MDPI15academiceditor"/>
              <w:spacing w:after="240"/>
            </w:pPr>
            <w:r w:rsidRPr="00925C57">
              <w:t xml:space="preserve">Academic Editor(s): </w:t>
            </w:r>
          </w:p>
          <w:p w14:paraId="0A2C340B" w14:textId="77777777" w:rsidR="00925C57" w:rsidRPr="00925C57" w:rsidRDefault="00925C57" w:rsidP="00925C57">
            <w:pPr>
              <w:pStyle w:val="MDPI14history"/>
            </w:pPr>
            <w:r w:rsidRPr="00925C57">
              <w:t>Received: date</w:t>
            </w:r>
          </w:p>
          <w:p w14:paraId="5CD53993" w14:textId="77777777" w:rsidR="00925C57" w:rsidRPr="00925C57" w:rsidRDefault="00925C57" w:rsidP="00925C57">
            <w:pPr>
              <w:pStyle w:val="MDPI14history"/>
            </w:pPr>
            <w:r w:rsidRPr="00925C57">
              <w:t>Accepted: date</w:t>
            </w:r>
          </w:p>
          <w:p w14:paraId="7B0EA35A" w14:textId="77777777" w:rsidR="00925C57" w:rsidRPr="00925C57" w:rsidRDefault="00925C57" w:rsidP="00925C57">
            <w:pPr>
              <w:pStyle w:val="MDPI14history"/>
              <w:spacing w:after="240"/>
            </w:pPr>
            <w:r w:rsidRPr="00925C57">
              <w:t>Published: date</w:t>
            </w:r>
          </w:p>
          <w:p w14:paraId="7B9DA38F" w14:textId="77777777" w:rsidR="00925C57" w:rsidRPr="00925C57" w:rsidRDefault="00925C57" w:rsidP="00925C57">
            <w:pPr>
              <w:pStyle w:val="MDPI63Notes"/>
              <w:spacing w:after="0"/>
              <w:jc w:val="both"/>
            </w:pPr>
            <w:r w:rsidRPr="00925C57">
              <w:rPr>
                <w:b/>
              </w:rPr>
              <w:t>Publisher’s Note:</w:t>
            </w:r>
            <w:r w:rsidRPr="00925C57">
              <w:t xml:space="preserve"> MDPI stays neutral with regard to jurisdictional claims in published maps and institutional affiliations.</w:t>
            </w:r>
          </w:p>
          <w:p w14:paraId="6998AC7E" w14:textId="6F3D6E3B" w:rsidR="00925C57" w:rsidRPr="00925C57" w:rsidRDefault="00925C57" w:rsidP="00925C57">
            <w:pPr>
              <w:pStyle w:val="MDPI63Notes"/>
              <w:spacing w:before="240" w:after="0"/>
              <w:jc w:val="both"/>
            </w:pPr>
            <w:r w:rsidRPr="00925C57">
              <w:rPr>
                <w:noProof/>
                <w:snapToGrid/>
              </w:rPr>
              <w:drawing>
                <wp:inline distT="0" distB="0" distL="0" distR="0" wp14:anchorId="4BD10B20" wp14:editId="2DA496E7">
                  <wp:extent cx="694800" cy="248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4800" cy="248400"/>
                          </a:xfrm>
                          <a:prstGeom prst="rect">
                            <a:avLst/>
                          </a:prstGeom>
                        </pic:spPr>
                      </pic:pic>
                    </a:graphicData>
                  </a:graphic>
                </wp:inline>
              </w:drawing>
            </w:r>
          </w:p>
          <w:p w14:paraId="211E4E3E" w14:textId="77777777" w:rsidR="00925C57" w:rsidRPr="00925C57" w:rsidRDefault="00925C57" w:rsidP="00925C57">
            <w:pPr>
              <w:pStyle w:val="MDPI63Notes"/>
              <w:spacing w:before="60" w:after="0"/>
              <w:jc w:val="both"/>
            </w:pPr>
            <w:r w:rsidRPr="00925C57">
              <w:rPr>
                <w:b/>
              </w:rPr>
              <w:t>Copyright:</w:t>
            </w:r>
            <w:r w:rsidRPr="00925C57">
              <w:t xml:space="preserve"> © 2022 by the authors. Submitted for possible open access publication under the terms and conditions of the Creative Commons Attribution (CC BY) license (https://creativecommons.org/licenses/by/4.0/).</w:t>
            </w:r>
          </w:p>
        </w:tc>
      </w:tr>
    </w:tbl>
    <w:p w14:paraId="0C7D916E" w14:textId="6CFBFB6B" w:rsidR="00C115BB" w:rsidRDefault="00791DC2" w:rsidP="00DA4338">
      <w:pPr>
        <w:pStyle w:val="MDPI17abstract"/>
      </w:pPr>
      <w:r w:rsidRPr="00925C57">
        <w:rPr>
          <w:b/>
        </w:rPr>
        <w:t>Abstract</w:t>
      </w:r>
      <w:r w:rsidR="00FE407B" w:rsidRPr="00925C57">
        <w:t xml:space="preserve">: </w:t>
      </w:r>
      <w:r w:rsidR="00EA2404" w:rsidRPr="00925C57">
        <w:t>An epidemic of avian type H7N9 influenza virus</w:t>
      </w:r>
      <w:r w:rsidRPr="00925C57">
        <w:t>, which</w:t>
      </w:r>
      <w:r w:rsidR="00EA2404" w:rsidRPr="00925C57">
        <w:t xml:space="preserve"> </w:t>
      </w:r>
      <w:r w:rsidR="000C68DE" w:rsidRPr="00925C57">
        <w:t>took place</w:t>
      </w:r>
      <w:r w:rsidR="00446814" w:rsidRPr="00925C57">
        <w:t xml:space="preserve"> in China in 2013</w:t>
      </w:r>
      <w:r w:rsidRPr="00925C57">
        <w:t>,</w:t>
      </w:r>
      <w:r w:rsidR="007C7CA1" w:rsidRPr="00925C57">
        <w:t xml:space="preserve"> </w:t>
      </w:r>
      <w:r w:rsidR="00A35C40" w:rsidRPr="00925C57">
        <w:t>was enhanced by</w:t>
      </w:r>
      <w:r w:rsidR="007C7CA1" w:rsidRPr="00925C57">
        <w:t xml:space="preserve"> </w:t>
      </w:r>
      <w:r w:rsidR="00A35C40" w:rsidRPr="00925C57">
        <w:t>a</w:t>
      </w:r>
      <w:r w:rsidRPr="00925C57">
        <w:t xml:space="preserve"> n</w:t>
      </w:r>
      <w:r w:rsidR="00EA2404" w:rsidRPr="00925C57">
        <w:t>aturally occurr</w:t>
      </w:r>
      <w:r w:rsidR="007934B1" w:rsidRPr="00925C57">
        <w:t>ing</w:t>
      </w:r>
      <w:r w:rsidR="00EA2404" w:rsidRPr="00925C57">
        <w:t xml:space="preserve"> R294K </w:t>
      </w:r>
      <w:r w:rsidR="00A35C40" w:rsidRPr="00925C57">
        <w:t xml:space="preserve">resistance </w:t>
      </w:r>
      <w:r w:rsidR="00EA2404" w:rsidRPr="00925C57">
        <w:t xml:space="preserve">mutation </w:t>
      </w:r>
      <w:r w:rsidR="00A35C40" w:rsidRPr="00925C57">
        <w:t xml:space="preserve">against Oseltamivir </w:t>
      </w:r>
      <w:r w:rsidR="00EA2404" w:rsidRPr="00925C57">
        <w:t xml:space="preserve">at </w:t>
      </w:r>
      <w:r w:rsidRPr="00925C57">
        <w:t xml:space="preserve">the </w:t>
      </w:r>
      <w:r w:rsidR="00EA2404" w:rsidRPr="00925C57">
        <w:t>ca</w:t>
      </w:r>
      <w:r w:rsidR="007C7CA1" w:rsidRPr="00925C57">
        <w:t xml:space="preserve">talytic site of </w:t>
      </w:r>
      <w:r w:rsidR="00A35C40" w:rsidRPr="00925C57">
        <w:t>the neuraminidase</w:t>
      </w:r>
      <w:r w:rsidR="00EA2404" w:rsidRPr="00925C57">
        <w:t xml:space="preserve">. </w:t>
      </w:r>
      <w:r w:rsidR="00D656AC" w:rsidRPr="00925C57">
        <w:t xml:space="preserve">To </w:t>
      </w:r>
      <w:r w:rsidR="000C68DE" w:rsidRPr="00925C57">
        <w:t>cope with such drug resistant</w:t>
      </w:r>
      <w:r w:rsidR="00A35C40" w:rsidRPr="00925C57">
        <w:t xml:space="preserve"> </w:t>
      </w:r>
      <w:r w:rsidR="000C68DE" w:rsidRPr="00925C57">
        <w:t xml:space="preserve">neuraminidase </w:t>
      </w:r>
      <w:r w:rsidR="002E0011" w:rsidRPr="00925C57">
        <w:t>mutations,</w:t>
      </w:r>
      <w:r w:rsidR="00D656AC" w:rsidRPr="00925C57">
        <w:t xml:space="preserve"> we </w:t>
      </w:r>
      <w:r w:rsidR="00F86562" w:rsidRPr="00925C57">
        <w:t xml:space="preserve">applied molecular docking technique to </w:t>
      </w:r>
      <w:r w:rsidR="00D656AC" w:rsidRPr="00925C57">
        <w:t>evaluate</w:t>
      </w:r>
      <w:r w:rsidR="00A945AB" w:rsidRPr="00925C57">
        <w:rPr>
          <w:i/>
        </w:rPr>
        <w:t xml:space="preserve"> </w:t>
      </w:r>
      <w:r w:rsidR="00D656AC" w:rsidRPr="00925C57">
        <w:t>the fitness of the available drugs such as Oseltamivir, Zanamivir, Peramivir, Laninamivir, L-Arginine and Benserazide hydrochloride towards N9 enzyme with single</w:t>
      </w:r>
      <w:r w:rsidR="00A945AB" w:rsidRPr="00925C57">
        <w:t xml:space="preserve"> (R294K, R119K</w:t>
      </w:r>
      <w:r w:rsidR="00D656AC" w:rsidRPr="00925C57">
        <w:t>,</w:t>
      </w:r>
      <w:r w:rsidR="00A945AB" w:rsidRPr="00925C57">
        <w:t xml:space="preserve"> R372K)</w:t>
      </w:r>
      <w:r w:rsidR="00D656AC" w:rsidRPr="00925C57">
        <w:t xml:space="preserve"> double</w:t>
      </w:r>
      <w:r w:rsidR="00A945AB" w:rsidRPr="00925C57">
        <w:t xml:space="preserve"> (R119_294K, R119_372K, R294_372K)</w:t>
      </w:r>
      <w:r w:rsidR="00D656AC" w:rsidRPr="00925C57">
        <w:t xml:space="preserve"> and triple</w:t>
      </w:r>
      <w:r w:rsidR="00A945AB" w:rsidRPr="00925C57">
        <w:t xml:space="preserve"> (R119_294_372K)</w:t>
      </w:r>
      <w:r w:rsidR="00D656AC" w:rsidRPr="00925C57">
        <w:t xml:space="preserve"> mutations in the pocket.</w:t>
      </w:r>
      <w:r w:rsidR="00F86562" w:rsidRPr="00925C57">
        <w:t xml:space="preserve"> </w:t>
      </w:r>
      <w:r w:rsidR="005E00FF" w:rsidRPr="00925C57">
        <w:t>We found that the drug</w:t>
      </w:r>
      <w:r w:rsidR="007C7CA1" w:rsidRPr="00925C57">
        <w:t>s</w:t>
      </w:r>
      <w:r w:rsidR="005E00FF" w:rsidRPr="00925C57">
        <w:t xml:space="preserve"> Peramivir</w:t>
      </w:r>
      <w:r w:rsidR="007C7CA1" w:rsidRPr="00925C57">
        <w:t xml:space="preserve"> and Zanamivir score</w:t>
      </w:r>
      <w:r w:rsidR="005E00FF" w:rsidRPr="00925C57">
        <w:t xml:space="preserve"> best amongst the stu</w:t>
      </w:r>
      <w:r w:rsidR="007C7CA1" w:rsidRPr="00925C57">
        <w:t xml:space="preserve">died compounds </w:t>
      </w:r>
      <w:r w:rsidR="00E467B4" w:rsidRPr="00925C57">
        <w:t>demonstrating</w:t>
      </w:r>
      <w:r w:rsidR="007C7CA1" w:rsidRPr="00925C57">
        <w:t xml:space="preserve"> their high</w:t>
      </w:r>
      <w:r w:rsidR="005E00FF" w:rsidRPr="00925C57">
        <w:t xml:space="preserve"> binding potential towards the pockets with </w:t>
      </w:r>
      <w:r w:rsidRPr="00925C57">
        <w:t xml:space="preserve">the </w:t>
      </w:r>
      <w:r w:rsidR="005E00FF" w:rsidRPr="00925C57">
        <w:t>considered mutations.</w:t>
      </w:r>
      <w:r w:rsidR="005F08E4" w:rsidRPr="00925C57">
        <w:t xml:space="preserve"> Despite the fact that mutation</w:t>
      </w:r>
      <w:r w:rsidRPr="00925C57">
        <w:t>s</w:t>
      </w:r>
      <w:r w:rsidR="005F08E4" w:rsidRPr="00925C57">
        <w:t xml:space="preserve"> changed the shape of the pocket and reduced the binding strength for all drugs, Peramivir was the only drug that formed interactions with the key residues at positions 119, 294 and 372 in the pocket of </w:t>
      </w:r>
      <w:r w:rsidRPr="00925C57">
        <w:t xml:space="preserve">the </w:t>
      </w:r>
      <w:r w:rsidR="005F08E4" w:rsidRPr="00925C57">
        <w:t>triple N9 mutant</w:t>
      </w:r>
      <w:r w:rsidR="007C7CA1" w:rsidRPr="00925C57">
        <w:t xml:space="preserve">, </w:t>
      </w:r>
      <w:r w:rsidR="0095503F" w:rsidRPr="00925C57">
        <w:t>w</w:t>
      </w:r>
      <w:r w:rsidR="007C7CA1" w:rsidRPr="00925C57">
        <w:t>hile Zanamivir demonstrated the least RMSD value (0.7 Å) with respect to the reference structure</w:t>
      </w:r>
      <w:r w:rsidR="0079274B" w:rsidRPr="00925C57">
        <w:t xml:space="preserve">. </w:t>
      </w:r>
    </w:p>
    <w:p w14:paraId="45A2C03E" w14:textId="509F5B47" w:rsidR="000C763F" w:rsidRDefault="000C763F" w:rsidP="00DA4338">
      <w:pPr>
        <w:pStyle w:val="MDPI17abstract"/>
      </w:pPr>
      <w:r w:rsidRPr="000C763F">
        <w:rPr>
          <w:b/>
        </w:rPr>
        <w:t xml:space="preserve">Keywords: </w:t>
      </w:r>
      <w:r w:rsidRPr="00925C57">
        <w:t>H7N9 influenza virus; neuraminidase; mutation; binding pocket; molecular docking;</w:t>
      </w:r>
    </w:p>
    <w:p w14:paraId="2A0A11F0" w14:textId="77777777" w:rsidR="000C763F" w:rsidRPr="000C763F" w:rsidRDefault="000C763F" w:rsidP="000C763F">
      <w:pPr>
        <w:rPr>
          <w:rFonts w:ascii="Palatino Linotype" w:eastAsia="Times New Roman" w:hAnsi="Palatino Linotype" w:cs="Times New Roman"/>
          <w:snapToGrid w:val="0"/>
          <w:color w:val="000000"/>
          <w:sz w:val="18"/>
          <w:lang w:val="en-US" w:eastAsia="de-DE" w:bidi="en-US"/>
        </w:rPr>
      </w:pPr>
      <w:r w:rsidRPr="000C763F">
        <w:rPr>
          <w:rFonts w:ascii="Palatino Linotype" w:eastAsia="Times New Roman" w:hAnsi="Palatino Linotype" w:cs="Times New Roman"/>
          <w:b/>
          <w:snapToGrid w:val="0"/>
          <w:color w:val="000000"/>
          <w:sz w:val="18"/>
          <w:lang w:val="en-US" w:eastAsia="de-DE" w:bidi="en-US"/>
        </w:rPr>
        <w:t>Running head</w:t>
      </w:r>
      <w:r w:rsidRPr="000C763F">
        <w:rPr>
          <w:rFonts w:ascii="Palatino Linotype" w:eastAsia="Times New Roman" w:hAnsi="Palatino Linotype" w:cs="Times New Roman"/>
          <w:snapToGrid w:val="0"/>
          <w:color w:val="000000"/>
          <w:sz w:val="18"/>
          <w:lang w:val="en-US" w:eastAsia="de-DE" w:bidi="en-US"/>
        </w:rPr>
        <w:t>: Drugs against H7N9 resistance</w:t>
      </w:r>
    </w:p>
    <w:p w14:paraId="1FD85DF6" w14:textId="57BE968F" w:rsidR="000C763F" w:rsidRPr="00925C57" w:rsidRDefault="000C763F" w:rsidP="000C763F">
      <w:pPr>
        <w:pStyle w:val="MDPI19line"/>
        <w:pBdr>
          <w:bottom w:val="single" w:sz="4" w:space="1" w:color="000000"/>
        </w:pBdr>
      </w:pPr>
    </w:p>
    <w:p w14:paraId="67FA14B9" w14:textId="2BCE5A28" w:rsidR="00DA4338" w:rsidRDefault="00DA4338" w:rsidP="00DA4338">
      <w:pPr>
        <w:pStyle w:val="MDPI21heading1"/>
      </w:pPr>
      <w:r>
        <w:t xml:space="preserve">1. </w:t>
      </w:r>
      <w:r w:rsidRPr="00925C57">
        <w:t>Introduction</w:t>
      </w:r>
    </w:p>
    <w:p w14:paraId="216A7A76" w14:textId="7373D714" w:rsidR="00E05649" w:rsidRPr="00925C57" w:rsidRDefault="00E05649" w:rsidP="00FE407B">
      <w:pPr>
        <w:pStyle w:val="MDPI31text"/>
      </w:pPr>
      <w:r w:rsidRPr="00925C57">
        <w:t>H7N9 influenza A virus became a serious threat to human health after a first outbreak in February 2013. The next epidemic wave occurred in June 2014, which caused 450 human infections, including 165 fatalities</w:t>
      </w:r>
      <w:r w:rsidR="00347A50" w:rsidRPr="00925C57">
        <w:t xml:space="preserve"> </w:t>
      </w:r>
      <w:r w:rsidRPr="00925C57">
        <w:fldChar w:fldCharType="begin" w:fldLock="1"/>
      </w:r>
      <w:r w:rsidR="00347A50" w:rsidRPr="00925C57">
        <w:instrText>ADDIN CSL_CITATION {"citationItems":[{"id":"ITEM-1","itemData":{"DOI":"10.2147/DDDT.S74061","ISSN":"11778881","PMID":"25489236","abstract":"Background: After the first epidemic wave from February through May 2013, the influenza A (H7N9) virus emerged and has followed a second epidemic wave since June 2013. As of June 27, 2014, the outbreak of H7N9 had caused 450 confirmed cases of human infection, with 165 deaths included. The case-fatality rate of all confirmed cases is about 36%, making the H7N9 virus a significant threat to people's health. At present, neuraminidase inhibitors are the only licensed antiviral medications available to treat H7N9 infections in humans. Oseltamivir is the most commonly used inhibitor, and it is also a front-line drug for the threatening H7N9. Unfortunately, it has been reported that patients treated with oseltamivir can induce R294K (Arg294Lys) substitution in the H7N9 virus, which is a rare mutation and can reduce the antiviral efficacy of inhibitors. Even worse, deaths caused by such mutation after oseltamivir treatment have already been reported, indicating that the need to find substitutive neuraminidase inhibitors for currently available drugs to treat drug-resistant H7N9 is really pressing.\nMaterials and methods: First, the structure of H7N9 containing the R294K substitution was downloaded from the Protein Data Bank, and structural information of approved drugs was downloaded from the ZINC (ZINC Is Not Commercial) database. Taking oseltamivir carboxylate as a reference drug, we then filtered these molecules through virtual screening to find out potential inhibitors targeting the mutated H7N9 virus. For further evaluation, we carried out a 14 ns molecular dynamic simulation for each H7N9–drug complex and calculated the binding energy for each candidate drug.\nResults: We found five inhibitors that could be candidate drugs for treating the mutated H7N9 virus. Docking poses showed these drugs could bind to the virus effectively, with the contribution of hydrogen bonds and hydrophobic interactions. With regard to the molecular dynamic simulations, receptor–ligand complexes formed by these candidate drugs were more stable than the one formed by oseltamivir carboxylate. The binding energy of oseltamivir carboxylate was –122.4 kJ/mol, while those for these potential inhibitors were –417.5, –404.7, –372.2, –304.3, and –289.9 kJ/mol, much better than the reference drug.\nConclusion: Given the current and future threat of the mutated H7N9 virus, it is urgent that potent drugs and effective antiviral therapeutics be found. Our study therefore is able tocomplement cu…","author":[{"dropping-particle":"","family":"He","given":"Jiao Yu","non-dropping-particle":"","parse-names":false,"suffix":""},{"dropping-particle":"","family":"Li","given":"Cheng","non-dropping-particle":"","parse-names":false,"suffix":""},{"dropping-particle":"","family":"Wu","given":"Guo","non-dropping-particle":"","parse-names":false,"suffix":""}],"container-title":"Drug Design, Development and Therapy","id":"ITEM-1","issued":{"date-parts":[["2014"]]},"page":"2377-2390","title":"Discovery of potential drugs for human-infecting H7N9 virus containing R294K mutation","type":"article-journal","volume":"8"},"uris":["http://www.mendeley.com/documents/?uuid=b1f32b8e-3cd9-45d3-965d-03b09550b7c8","http://www.mendeley.com/documents/?uuid=edb0b9cd-7a9e-44ea-8991-81144d918ce7"]}],"mendeley":{"formattedCitation":"[1]","manualFormatting":"[1","plainTextFormattedCitation":"[1]","previouslyFormattedCitation":"[1]"},"properties":{"noteIndex":0},"schema":"https://github.com/citation-style-language/schema/raw/master/csl-citation.json"}</w:instrText>
      </w:r>
      <w:r w:rsidRPr="00925C57">
        <w:fldChar w:fldCharType="separate"/>
      </w:r>
      <w:r w:rsidR="00347A50" w:rsidRPr="00925C57">
        <w:t>[1</w:t>
      </w:r>
      <w:r w:rsidRPr="00925C57">
        <w:fldChar w:fldCharType="end"/>
      </w:r>
      <w:r w:rsidR="00347A50" w:rsidRPr="00925C57">
        <w:t>,</w:t>
      </w:r>
      <w:r w:rsidRPr="00925C57">
        <w:fldChar w:fldCharType="begin" w:fldLock="1"/>
      </w:r>
      <w:r w:rsidR="00347A50" w:rsidRPr="00925C57">
        <w:instrText>ADDIN CSL_CITATION {"citationItems":[{"id":"ITEM-1","itemData":{"URL":"http://www.cdc.gov/flu/about/viruses/types.htm","abstract":"1992</w:instrText>
      </w:r>
      <w:r w:rsidR="00347A50" w:rsidRPr="00925C57">
        <w:rPr>
          <w:rFonts w:ascii="Malgun Gothic" w:eastAsia="Malgun Gothic" w:hAnsi="Malgun Gothic" w:cs="Malgun Gothic" w:hint="eastAsia"/>
        </w:rPr>
        <w:instrText>년</w:instrText>
      </w:r>
      <w:r w:rsidR="00347A50" w:rsidRPr="00925C57">
        <w:instrText xml:space="preserve"> </w:instrText>
      </w:r>
      <w:r w:rsidR="00347A50" w:rsidRPr="00925C57">
        <w:rPr>
          <w:rFonts w:ascii="Malgun Gothic" w:eastAsia="Malgun Gothic" w:hAnsi="Malgun Gothic" w:cs="Malgun Gothic" w:hint="eastAsia"/>
        </w:rPr>
        <w:instrText>한</w:instrText>
      </w:r>
      <w:r w:rsidR="00347A50" w:rsidRPr="00925C57">
        <w:instrText xml:space="preserve"> · </w:instrText>
      </w:r>
      <w:r w:rsidR="00347A50" w:rsidRPr="00925C57">
        <w:rPr>
          <w:rFonts w:ascii="Malgun Gothic" w:eastAsia="Malgun Gothic" w:hAnsi="Malgun Gothic" w:cs="Malgun Gothic" w:hint="eastAsia"/>
        </w:rPr>
        <w:instrText>중</w:instrText>
      </w:r>
      <w:r w:rsidR="00347A50" w:rsidRPr="00925C57">
        <w:instrText xml:space="preserve"> </w:instrText>
      </w:r>
      <w:r w:rsidR="00347A50" w:rsidRPr="00925C57">
        <w:rPr>
          <w:rFonts w:ascii="Malgun Gothic" w:eastAsia="Malgun Gothic" w:hAnsi="Malgun Gothic" w:cs="Malgun Gothic" w:hint="eastAsia"/>
        </w:rPr>
        <w:instrText>수교</w:instrText>
      </w:r>
      <w:r w:rsidR="00347A50" w:rsidRPr="00925C57">
        <w:instrText xml:space="preserve"> </w:instrText>
      </w:r>
      <w:r w:rsidR="00347A50" w:rsidRPr="00925C57">
        <w:rPr>
          <w:rFonts w:ascii="Malgun Gothic" w:eastAsia="Malgun Gothic" w:hAnsi="Malgun Gothic" w:cs="Malgun Gothic" w:hint="eastAsia"/>
        </w:rPr>
        <w:instrText>이후부터</w:instrText>
      </w:r>
      <w:r w:rsidR="00347A50" w:rsidRPr="00925C57">
        <w:instrText xml:space="preserve"> </w:instrText>
      </w:r>
      <w:r w:rsidR="00347A50" w:rsidRPr="00925C57">
        <w:rPr>
          <w:rFonts w:ascii="Malgun Gothic" w:eastAsia="Malgun Gothic" w:hAnsi="Malgun Gothic" w:cs="Malgun Gothic" w:hint="eastAsia"/>
        </w:rPr>
        <w:instrText>많은</w:instrText>
      </w:r>
      <w:r w:rsidR="00347A50" w:rsidRPr="00925C57">
        <w:instrText xml:space="preserve"> </w:instrText>
      </w:r>
      <w:r w:rsidR="00347A50" w:rsidRPr="00925C57">
        <w:rPr>
          <w:rFonts w:ascii="Malgun Gothic" w:eastAsia="Malgun Gothic" w:hAnsi="Malgun Gothic" w:cs="Malgun Gothic" w:hint="eastAsia"/>
        </w:rPr>
        <w:instrText>중국</w:instrText>
      </w:r>
      <w:r w:rsidR="00347A50" w:rsidRPr="00925C57">
        <w:instrText xml:space="preserve"> </w:instrText>
      </w:r>
      <w:r w:rsidR="00347A50" w:rsidRPr="00925C57">
        <w:rPr>
          <w:rFonts w:ascii="Malgun Gothic" w:eastAsia="Malgun Gothic" w:hAnsi="Malgun Gothic" w:cs="Malgun Gothic" w:hint="eastAsia"/>
        </w:rPr>
        <w:instrText>조선족들은</w:instrText>
      </w:r>
      <w:r w:rsidR="00347A50" w:rsidRPr="00925C57">
        <w:instrText xml:space="preserve"> </w:instrText>
      </w:r>
      <w:r w:rsidR="00347A50" w:rsidRPr="00925C57">
        <w:rPr>
          <w:rFonts w:ascii="Malgun Gothic" w:eastAsia="Malgun Gothic" w:hAnsi="Malgun Gothic" w:cs="Malgun Gothic" w:hint="eastAsia"/>
        </w:rPr>
        <w:instrText>경제적인</w:instrText>
      </w:r>
      <w:r w:rsidR="00347A50" w:rsidRPr="00925C57">
        <w:instrText xml:space="preserve"> </w:instrText>
      </w:r>
      <w:r w:rsidR="00347A50" w:rsidRPr="00925C57">
        <w:rPr>
          <w:rFonts w:ascii="Malgun Gothic" w:eastAsia="Malgun Gothic" w:hAnsi="Malgun Gothic" w:cs="Malgun Gothic" w:hint="eastAsia"/>
        </w:rPr>
        <w:instrText>부를</w:instrText>
      </w:r>
      <w:r w:rsidR="00347A50" w:rsidRPr="00925C57">
        <w:instrText xml:space="preserve"> </w:instrText>
      </w:r>
      <w:r w:rsidR="00347A50" w:rsidRPr="00925C57">
        <w:rPr>
          <w:rFonts w:ascii="Malgun Gothic" w:eastAsia="Malgun Gothic" w:hAnsi="Malgun Gothic" w:cs="Malgun Gothic" w:hint="eastAsia"/>
        </w:rPr>
        <w:instrText>축적하기</w:instrText>
      </w:r>
      <w:r w:rsidR="00347A50" w:rsidRPr="00925C57">
        <w:instrText xml:space="preserve"> </w:instrText>
      </w:r>
      <w:r w:rsidR="00347A50" w:rsidRPr="00925C57">
        <w:rPr>
          <w:rFonts w:ascii="Malgun Gothic" w:eastAsia="Malgun Gothic" w:hAnsi="Malgun Gothic" w:cs="Malgun Gothic" w:hint="eastAsia"/>
        </w:rPr>
        <w:instrText>위해</w:instrText>
      </w:r>
      <w:r w:rsidR="00347A50" w:rsidRPr="00925C57">
        <w:instrText xml:space="preserve"> </w:instrText>
      </w:r>
      <w:r w:rsidR="00347A50" w:rsidRPr="00925C57">
        <w:rPr>
          <w:rFonts w:ascii="Malgun Gothic" w:eastAsia="Malgun Gothic" w:hAnsi="Malgun Gothic" w:cs="Malgun Gothic" w:hint="eastAsia"/>
        </w:rPr>
        <w:instrText>한국으로</w:instrText>
      </w:r>
      <w:r w:rsidR="00347A50" w:rsidRPr="00925C57">
        <w:instrText xml:space="preserve"> </w:instrText>
      </w:r>
      <w:r w:rsidR="00347A50" w:rsidRPr="00925C57">
        <w:rPr>
          <w:rFonts w:ascii="Malgun Gothic" w:eastAsia="Malgun Gothic" w:hAnsi="Malgun Gothic" w:cs="Malgun Gothic" w:hint="eastAsia"/>
        </w:rPr>
        <w:instrText>입국하기</w:instrText>
      </w:r>
      <w:r w:rsidR="00347A50" w:rsidRPr="00925C57">
        <w:instrText xml:space="preserve"> </w:instrText>
      </w:r>
      <w:r w:rsidR="00347A50" w:rsidRPr="00925C57">
        <w:rPr>
          <w:rFonts w:ascii="Malgun Gothic" w:eastAsia="Malgun Gothic" w:hAnsi="Malgun Gothic" w:cs="Malgun Gothic" w:hint="eastAsia"/>
        </w:rPr>
        <w:instrText>시작했다</w:instrText>
      </w:r>
      <w:r w:rsidR="00347A50" w:rsidRPr="00925C57">
        <w:instrText xml:space="preserve">. </w:instrText>
      </w:r>
      <w:r w:rsidR="00347A50" w:rsidRPr="00925C57">
        <w:rPr>
          <w:rFonts w:ascii="Malgun Gothic" w:eastAsia="Malgun Gothic" w:hAnsi="Malgun Gothic" w:cs="Malgun Gothic" w:hint="eastAsia"/>
        </w:rPr>
        <w:instrText>더욱</w:instrText>
      </w:r>
      <w:r w:rsidR="00347A50" w:rsidRPr="00925C57">
        <w:instrText xml:space="preserve"> </w:instrText>
      </w:r>
      <w:r w:rsidR="00347A50" w:rsidRPr="00925C57">
        <w:rPr>
          <w:rFonts w:ascii="Malgun Gothic" w:eastAsia="Malgun Gothic" w:hAnsi="Malgun Gothic" w:cs="Malgun Gothic" w:hint="eastAsia"/>
        </w:rPr>
        <w:instrText>나은</w:instrText>
      </w:r>
      <w:r w:rsidR="00347A50" w:rsidRPr="00925C57">
        <w:instrText xml:space="preserve"> </w:instrText>
      </w:r>
      <w:r w:rsidR="00347A50" w:rsidRPr="00925C57">
        <w:rPr>
          <w:rFonts w:ascii="Malgun Gothic" w:eastAsia="Malgun Gothic" w:hAnsi="Malgun Gothic" w:cs="Malgun Gothic" w:hint="eastAsia"/>
        </w:rPr>
        <w:instrText>삶의</w:instrText>
      </w:r>
      <w:r w:rsidR="00347A50" w:rsidRPr="00925C57">
        <w:instrText xml:space="preserve"> </w:instrText>
      </w:r>
      <w:r w:rsidR="00347A50" w:rsidRPr="00925C57">
        <w:rPr>
          <w:rFonts w:ascii="Malgun Gothic" w:eastAsia="Malgun Gothic" w:hAnsi="Malgun Gothic" w:cs="Malgun Gothic" w:hint="eastAsia"/>
        </w:rPr>
        <w:instrText>기회를</w:instrText>
      </w:r>
      <w:r w:rsidR="00347A50" w:rsidRPr="00925C57">
        <w:instrText xml:space="preserve"> </w:instrText>
      </w:r>
      <w:r w:rsidR="00347A50" w:rsidRPr="00925C57">
        <w:rPr>
          <w:rFonts w:ascii="Malgun Gothic" w:eastAsia="Malgun Gothic" w:hAnsi="Malgun Gothic" w:cs="Malgun Gothic" w:hint="eastAsia"/>
        </w:rPr>
        <w:instrText>모색하기</w:instrText>
      </w:r>
      <w:r w:rsidR="00347A50" w:rsidRPr="00925C57">
        <w:instrText xml:space="preserve"> </w:instrText>
      </w:r>
      <w:r w:rsidR="00347A50" w:rsidRPr="00925C57">
        <w:rPr>
          <w:rFonts w:ascii="Malgun Gothic" w:eastAsia="Malgun Gothic" w:hAnsi="Malgun Gothic" w:cs="Malgun Gothic" w:hint="eastAsia"/>
        </w:rPr>
        <w:instrText>위해</w:instrText>
      </w:r>
      <w:r w:rsidR="00347A50" w:rsidRPr="00925C57">
        <w:instrText xml:space="preserve"> </w:instrText>
      </w:r>
      <w:r w:rsidR="00347A50" w:rsidRPr="00925C57">
        <w:rPr>
          <w:rFonts w:ascii="Malgun Gothic" w:eastAsia="Malgun Gothic" w:hAnsi="Malgun Gothic" w:cs="Malgun Gothic" w:hint="eastAsia"/>
        </w:rPr>
        <w:instrText>이동하는</w:instrText>
      </w:r>
      <w:r w:rsidR="00347A50" w:rsidRPr="00925C57">
        <w:instrText xml:space="preserve"> </w:instrText>
      </w:r>
      <w:r w:rsidR="00347A50" w:rsidRPr="00925C57">
        <w:rPr>
          <w:rFonts w:ascii="Malgun Gothic" w:eastAsia="Malgun Gothic" w:hAnsi="Malgun Gothic" w:cs="Malgun Gothic" w:hint="eastAsia"/>
        </w:rPr>
        <w:instrText>과정에서</w:instrText>
      </w:r>
      <w:r w:rsidR="00347A50" w:rsidRPr="00925C57">
        <w:instrText xml:space="preserve"> </w:instrText>
      </w:r>
      <w:r w:rsidR="00347A50" w:rsidRPr="00925C57">
        <w:rPr>
          <w:rFonts w:ascii="Malgun Gothic" w:eastAsia="Malgun Gothic" w:hAnsi="Malgun Gothic" w:cs="Malgun Gothic" w:hint="eastAsia"/>
        </w:rPr>
        <w:instrText>조선족들은</w:instrText>
      </w:r>
      <w:r w:rsidR="00347A50" w:rsidRPr="00925C57">
        <w:instrText xml:space="preserve"> </w:instrText>
      </w:r>
      <w:r w:rsidR="00347A50" w:rsidRPr="00925C57">
        <w:rPr>
          <w:rFonts w:ascii="Malgun Gothic" w:eastAsia="Malgun Gothic" w:hAnsi="Malgun Gothic" w:cs="Malgun Gothic" w:hint="eastAsia"/>
        </w:rPr>
        <w:instrText>예상의</w:instrText>
      </w:r>
      <w:r w:rsidR="00347A50" w:rsidRPr="00925C57">
        <w:instrText xml:space="preserve"> </w:instrText>
      </w:r>
      <w:r w:rsidR="00347A50" w:rsidRPr="00925C57">
        <w:rPr>
          <w:rFonts w:ascii="Malgun Gothic" w:eastAsia="Malgun Gothic" w:hAnsi="Malgun Gothic" w:cs="Malgun Gothic" w:hint="eastAsia"/>
        </w:rPr>
        <w:instrText>이익을</w:instrText>
      </w:r>
      <w:r w:rsidR="00347A50" w:rsidRPr="00925C57">
        <w:instrText xml:space="preserve"> </w:instrText>
      </w:r>
      <w:r w:rsidR="00347A50" w:rsidRPr="00925C57">
        <w:rPr>
          <w:rFonts w:ascii="Malgun Gothic" w:eastAsia="Malgun Gothic" w:hAnsi="Malgun Gothic" w:cs="Malgun Gothic" w:hint="eastAsia"/>
        </w:rPr>
        <w:instrText>얻었지만</w:instrText>
      </w:r>
      <w:r w:rsidR="00347A50" w:rsidRPr="00925C57">
        <w:instrText xml:space="preserve">, </w:instrText>
      </w:r>
      <w:r w:rsidR="00347A50" w:rsidRPr="00925C57">
        <w:rPr>
          <w:rFonts w:ascii="Malgun Gothic" w:eastAsia="Malgun Gothic" w:hAnsi="Malgun Gothic" w:cs="Malgun Gothic" w:hint="eastAsia"/>
        </w:rPr>
        <w:instrText>그들의</w:instrText>
      </w:r>
      <w:r w:rsidR="00347A50" w:rsidRPr="00925C57">
        <w:instrText xml:space="preserve"> </w:instrText>
      </w:r>
      <w:r w:rsidR="00347A50" w:rsidRPr="00925C57">
        <w:rPr>
          <w:rFonts w:ascii="Malgun Gothic" w:eastAsia="Malgun Gothic" w:hAnsi="Malgun Gothic" w:cs="Malgun Gothic" w:hint="eastAsia"/>
        </w:rPr>
        <w:instrText>이동은</w:instrText>
      </w:r>
      <w:r w:rsidR="00347A50" w:rsidRPr="00925C57">
        <w:instrText xml:space="preserve"> </w:instrText>
      </w:r>
      <w:r w:rsidR="00347A50" w:rsidRPr="00925C57">
        <w:rPr>
          <w:rFonts w:ascii="Malgun Gothic" w:eastAsia="Malgun Gothic" w:hAnsi="Malgun Gothic" w:cs="Malgun Gothic" w:hint="eastAsia"/>
        </w:rPr>
        <w:instrText>일련의</w:instrText>
      </w:r>
      <w:r w:rsidR="00347A50" w:rsidRPr="00925C57">
        <w:instrText xml:space="preserve"> </w:instrText>
      </w:r>
      <w:r w:rsidR="00347A50" w:rsidRPr="00925C57">
        <w:rPr>
          <w:rFonts w:ascii="Malgun Gothic" w:eastAsia="Malgun Gothic" w:hAnsi="Malgun Gothic" w:cs="Malgun Gothic" w:hint="eastAsia"/>
        </w:rPr>
        <w:instrText>사회문제를</w:instrText>
      </w:r>
      <w:r w:rsidR="00347A50" w:rsidRPr="00925C57">
        <w:instrText xml:space="preserve"> </w:instrText>
      </w:r>
      <w:r w:rsidR="00347A50" w:rsidRPr="00925C57">
        <w:rPr>
          <w:rFonts w:ascii="Malgun Gothic" w:eastAsia="Malgun Gothic" w:hAnsi="Malgun Gothic" w:cs="Malgun Gothic" w:hint="eastAsia"/>
        </w:rPr>
        <w:instrText>야기했으며</w:instrText>
      </w:r>
      <w:r w:rsidR="00347A50" w:rsidRPr="00925C57">
        <w:instrText xml:space="preserve"> </w:instrText>
      </w:r>
      <w:r w:rsidR="00347A50" w:rsidRPr="00925C57">
        <w:rPr>
          <w:rFonts w:ascii="Malgun Gothic" w:eastAsia="Malgun Gothic" w:hAnsi="Malgun Gothic" w:cs="Malgun Gothic" w:hint="eastAsia"/>
        </w:rPr>
        <w:instrText>그것은</w:instrText>
      </w:r>
      <w:r w:rsidR="00347A50" w:rsidRPr="00925C57">
        <w:instrText xml:space="preserve"> </w:instrText>
      </w:r>
      <w:r w:rsidR="00347A50" w:rsidRPr="00925C57">
        <w:rPr>
          <w:rFonts w:ascii="Malgun Gothic" w:eastAsia="Malgun Gothic" w:hAnsi="Malgun Gothic" w:cs="Malgun Gothic" w:hint="eastAsia"/>
        </w:rPr>
        <w:instrText>조선족</w:instrText>
      </w:r>
      <w:r w:rsidR="00347A50" w:rsidRPr="00925C57">
        <w:instrText xml:space="preserve"> </w:instrText>
      </w:r>
      <w:r w:rsidR="00347A50" w:rsidRPr="00925C57">
        <w:rPr>
          <w:rFonts w:ascii="Malgun Gothic" w:eastAsia="Malgun Gothic" w:hAnsi="Malgun Gothic" w:cs="Malgun Gothic" w:hint="eastAsia"/>
        </w:rPr>
        <w:instrText>사회변화의</w:instrText>
      </w:r>
      <w:r w:rsidR="00347A50" w:rsidRPr="00925C57">
        <w:instrText xml:space="preserve"> </w:instrText>
      </w:r>
      <w:r w:rsidR="00347A50" w:rsidRPr="00925C57">
        <w:rPr>
          <w:rFonts w:ascii="Malgun Gothic" w:eastAsia="Malgun Gothic" w:hAnsi="Malgun Gothic" w:cs="Malgun Gothic" w:hint="eastAsia"/>
        </w:rPr>
        <w:instrText>주요한</w:instrText>
      </w:r>
      <w:r w:rsidR="00347A50" w:rsidRPr="00925C57">
        <w:instrText xml:space="preserve"> </w:instrText>
      </w:r>
      <w:r w:rsidR="00347A50" w:rsidRPr="00925C57">
        <w:rPr>
          <w:rFonts w:ascii="Malgun Gothic" w:eastAsia="Malgun Gothic" w:hAnsi="Malgun Gothic" w:cs="Malgun Gothic" w:hint="eastAsia"/>
        </w:rPr>
        <w:instrText>요소로</w:instrText>
      </w:r>
      <w:r w:rsidR="00347A50" w:rsidRPr="00925C57">
        <w:instrText xml:space="preserve"> </w:instrText>
      </w:r>
      <w:r w:rsidR="00347A50" w:rsidRPr="00925C57">
        <w:rPr>
          <w:rFonts w:ascii="Malgun Gothic" w:eastAsia="Malgun Gothic" w:hAnsi="Malgun Gothic" w:cs="Malgun Gothic" w:hint="eastAsia"/>
        </w:rPr>
        <w:instrText>되었다</w:instrText>
      </w:r>
      <w:r w:rsidR="00347A50" w:rsidRPr="00925C57">
        <w:instrText xml:space="preserve">. </w:instrText>
      </w:r>
      <w:r w:rsidR="00347A50" w:rsidRPr="00925C57">
        <w:rPr>
          <w:rFonts w:ascii="Malgun Gothic" w:eastAsia="Malgun Gothic" w:hAnsi="Malgun Gothic" w:cs="Malgun Gothic" w:hint="eastAsia"/>
        </w:rPr>
        <w:instrText>본고에서는</w:instrText>
      </w:r>
      <w:r w:rsidR="00347A50" w:rsidRPr="00925C57">
        <w:instrText xml:space="preserve"> “</w:instrText>
      </w:r>
      <w:r w:rsidR="00347A50" w:rsidRPr="00925C57">
        <w:rPr>
          <w:rFonts w:ascii="Malgun Gothic" w:eastAsia="Malgun Gothic" w:hAnsi="Malgun Gothic" w:cs="Malgun Gothic" w:hint="eastAsia"/>
        </w:rPr>
        <w:instrText>코리안</w:instrText>
      </w:r>
      <w:r w:rsidR="00347A50" w:rsidRPr="00925C57">
        <w:instrText xml:space="preserve"> </w:instrText>
      </w:r>
      <w:r w:rsidR="00347A50" w:rsidRPr="00925C57">
        <w:rPr>
          <w:rFonts w:ascii="Malgun Gothic" w:eastAsia="Malgun Gothic" w:hAnsi="Malgun Gothic" w:cs="Malgun Gothic" w:hint="eastAsia"/>
        </w:rPr>
        <w:instrText>드림</w:instrText>
      </w:r>
      <w:r w:rsidR="00347A50" w:rsidRPr="00925C57">
        <w:rPr>
          <w:rFonts w:ascii="Calibri" w:hAnsi="Calibri" w:cs="Calibri"/>
        </w:rPr>
        <w:instrText>”</w:instrText>
      </w:r>
      <w:r w:rsidR="00347A50" w:rsidRPr="00925C57">
        <w:rPr>
          <w:rFonts w:ascii="Malgun Gothic" w:eastAsia="Malgun Gothic" w:hAnsi="Malgun Gothic" w:cs="Malgun Gothic" w:hint="eastAsia"/>
        </w:rPr>
        <w:instrText>을</w:instrText>
      </w:r>
      <w:r w:rsidR="00347A50" w:rsidRPr="00925C57">
        <w:instrText xml:space="preserve"> </w:instrText>
      </w:r>
      <w:r w:rsidR="00347A50" w:rsidRPr="00925C57">
        <w:rPr>
          <w:rFonts w:ascii="Malgun Gothic" w:eastAsia="Malgun Gothic" w:hAnsi="Malgun Gothic" w:cs="Malgun Gothic" w:hint="eastAsia"/>
        </w:rPr>
        <w:instrText>이루고자</w:instrText>
      </w:r>
      <w:r w:rsidR="00347A50" w:rsidRPr="00925C57">
        <w:instrText xml:space="preserve"> </w:instrText>
      </w:r>
      <w:r w:rsidR="00347A50" w:rsidRPr="00925C57">
        <w:rPr>
          <w:rFonts w:ascii="Malgun Gothic" w:eastAsia="Malgun Gothic" w:hAnsi="Malgun Gothic" w:cs="Malgun Gothic" w:hint="eastAsia"/>
        </w:rPr>
        <w:instrText>한국으로</w:instrText>
      </w:r>
      <w:r w:rsidR="00347A50" w:rsidRPr="00925C57">
        <w:instrText xml:space="preserve"> </w:instrText>
      </w:r>
      <w:r w:rsidR="00347A50" w:rsidRPr="00925C57">
        <w:rPr>
          <w:rFonts w:ascii="Malgun Gothic" w:eastAsia="Malgun Gothic" w:hAnsi="Malgun Gothic" w:cs="Malgun Gothic" w:hint="eastAsia"/>
        </w:rPr>
        <w:instrText>이동하는</w:instrText>
      </w:r>
      <w:r w:rsidR="00347A50" w:rsidRPr="00925C57">
        <w:instrText xml:space="preserve"> </w:instrText>
      </w:r>
      <w:r w:rsidR="00347A50" w:rsidRPr="00925C57">
        <w:rPr>
          <w:rFonts w:ascii="Malgun Gothic" w:eastAsia="Malgun Gothic" w:hAnsi="Malgun Gothic" w:cs="Malgun Gothic" w:hint="eastAsia"/>
        </w:rPr>
        <w:instrText>중국</w:instrText>
      </w:r>
      <w:r w:rsidR="00347A50" w:rsidRPr="00925C57">
        <w:instrText xml:space="preserve"> </w:instrText>
      </w:r>
      <w:r w:rsidR="00347A50" w:rsidRPr="00925C57">
        <w:rPr>
          <w:rFonts w:ascii="Malgun Gothic" w:eastAsia="Malgun Gothic" w:hAnsi="Malgun Gothic" w:cs="Malgun Gothic" w:hint="eastAsia"/>
        </w:rPr>
        <w:instrText>조선족들에</w:instrText>
      </w:r>
      <w:r w:rsidR="00347A50" w:rsidRPr="00925C57">
        <w:instrText xml:space="preserve"> </w:instrText>
      </w:r>
      <w:r w:rsidR="00347A50" w:rsidRPr="00925C57">
        <w:rPr>
          <w:rFonts w:ascii="Malgun Gothic" w:eastAsia="Malgun Gothic" w:hAnsi="Malgun Gothic" w:cs="Malgun Gothic" w:hint="eastAsia"/>
        </w:rPr>
        <w:instrText>초점을</w:instrText>
      </w:r>
      <w:r w:rsidR="00347A50" w:rsidRPr="00925C57">
        <w:instrText xml:space="preserve"> </w:instrText>
      </w:r>
      <w:r w:rsidR="00347A50" w:rsidRPr="00925C57">
        <w:rPr>
          <w:rFonts w:ascii="Malgun Gothic" w:eastAsia="Malgun Gothic" w:hAnsi="Malgun Gothic" w:cs="Malgun Gothic" w:hint="eastAsia"/>
        </w:rPr>
        <w:instrText>맞추어</w:instrText>
      </w:r>
      <w:r w:rsidR="00347A50" w:rsidRPr="00925C57">
        <w:instrText xml:space="preserve"> </w:instrText>
      </w:r>
      <w:r w:rsidR="00347A50" w:rsidRPr="00925C57">
        <w:rPr>
          <w:rFonts w:ascii="Malgun Gothic" w:eastAsia="Malgun Gothic" w:hAnsi="Malgun Gothic" w:cs="Malgun Gothic" w:hint="eastAsia"/>
        </w:rPr>
        <w:instrText>현재</w:instrText>
      </w:r>
      <w:r w:rsidR="00347A50" w:rsidRPr="00925C57">
        <w:instrText xml:space="preserve"> </w:instrText>
      </w:r>
      <w:r w:rsidR="00347A50" w:rsidRPr="00925C57">
        <w:rPr>
          <w:rFonts w:ascii="Malgun Gothic" w:eastAsia="Malgun Gothic" w:hAnsi="Malgun Gothic" w:cs="Malgun Gothic" w:hint="eastAsia"/>
        </w:rPr>
        <w:instrText>중국</w:instrText>
      </w:r>
      <w:r w:rsidR="00347A50" w:rsidRPr="00925C57">
        <w:instrText xml:space="preserve"> </w:instrText>
      </w:r>
      <w:r w:rsidR="00347A50" w:rsidRPr="00925C57">
        <w:rPr>
          <w:rFonts w:ascii="Malgun Gothic" w:eastAsia="Malgun Gothic" w:hAnsi="Malgun Gothic" w:cs="Malgun Gothic" w:hint="eastAsia"/>
        </w:rPr>
        <w:instrText>조선족의</w:instrText>
      </w:r>
      <w:r w:rsidR="00347A50" w:rsidRPr="00925C57">
        <w:instrText xml:space="preserve"> </w:instrText>
      </w:r>
      <w:r w:rsidR="00347A50" w:rsidRPr="00925C57">
        <w:rPr>
          <w:rFonts w:ascii="Malgun Gothic" w:eastAsia="Malgun Gothic" w:hAnsi="Malgun Gothic" w:cs="Malgun Gothic" w:hint="eastAsia"/>
        </w:rPr>
        <w:instrText>이동에</w:instrText>
      </w:r>
      <w:r w:rsidR="00347A50" w:rsidRPr="00925C57">
        <w:instrText xml:space="preserve"> </w:instrText>
      </w:r>
      <w:r w:rsidR="00347A50" w:rsidRPr="00925C57">
        <w:rPr>
          <w:rFonts w:ascii="Malgun Gothic" w:eastAsia="Malgun Gothic" w:hAnsi="Malgun Gothic" w:cs="Malgun Gothic" w:hint="eastAsia"/>
        </w:rPr>
        <w:instrText>관한</w:instrText>
      </w:r>
      <w:r w:rsidR="00347A50" w:rsidRPr="00925C57">
        <w:instrText xml:space="preserve"> </w:instrText>
      </w:r>
      <w:r w:rsidR="00347A50" w:rsidRPr="00925C57">
        <w:rPr>
          <w:rFonts w:ascii="Malgun Gothic" w:eastAsia="Malgun Gothic" w:hAnsi="Malgun Gothic" w:cs="Malgun Gothic" w:hint="eastAsia"/>
        </w:rPr>
        <w:instrText>연구의</w:instrText>
      </w:r>
      <w:r w:rsidR="00347A50" w:rsidRPr="00925C57">
        <w:instrText xml:space="preserve"> </w:instrText>
      </w:r>
      <w:r w:rsidR="00347A50" w:rsidRPr="00925C57">
        <w:rPr>
          <w:rFonts w:ascii="Malgun Gothic" w:eastAsia="Malgun Gothic" w:hAnsi="Malgun Gothic" w:cs="Malgun Gothic" w:hint="eastAsia"/>
        </w:rPr>
        <w:instrText>주요한</w:instrText>
      </w:r>
      <w:r w:rsidR="00347A50" w:rsidRPr="00925C57">
        <w:instrText xml:space="preserve"> </w:instrText>
      </w:r>
      <w:r w:rsidR="00347A50" w:rsidRPr="00925C57">
        <w:rPr>
          <w:rFonts w:ascii="Malgun Gothic" w:eastAsia="Malgun Gothic" w:hAnsi="Malgun Gothic" w:cs="Malgun Gothic" w:hint="eastAsia"/>
        </w:rPr>
        <w:instrText>관점</w:instrText>
      </w:r>
      <w:r w:rsidR="00347A50" w:rsidRPr="00925C57">
        <w:instrText xml:space="preserve">, </w:instrText>
      </w:r>
      <w:r w:rsidR="00347A50" w:rsidRPr="00925C57">
        <w:rPr>
          <w:rFonts w:ascii="Malgun Gothic" w:eastAsia="Malgun Gothic" w:hAnsi="Malgun Gothic" w:cs="Malgun Gothic" w:hint="eastAsia"/>
        </w:rPr>
        <w:instrText>연구</w:instrText>
      </w:r>
      <w:r w:rsidR="00347A50" w:rsidRPr="00925C57">
        <w:instrText xml:space="preserve"> </w:instrText>
      </w:r>
      <w:r w:rsidR="00347A50" w:rsidRPr="00925C57">
        <w:rPr>
          <w:rFonts w:ascii="Malgun Gothic" w:eastAsia="Malgun Gothic" w:hAnsi="Malgun Gothic" w:cs="Malgun Gothic" w:hint="eastAsia"/>
        </w:rPr>
        <w:instrText>시각들을</w:instrText>
      </w:r>
      <w:r w:rsidR="00347A50" w:rsidRPr="00925C57">
        <w:instrText xml:space="preserve"> </w:instrText>
      </w:r>
      <w:r w:rsidR="00347A50" w:rsidRPr="00925C57">
        <w:rPr>
          <w:rFonts w:ascii="Malgun Gothic" w:eastAsia="Malgun Gothic" w:hAnsi="Malgun Gothic" w:cs="Malgun Gothic" w:hint="eastAsia"/>
        </w:rPr>
        <w:instrText>정리한</w:instrText>
      </w:r>
      <w:r w:rsidR="00347A50" w:rsidRPr="00925C57">
        <w:instrText xml:space="preserve"> </w:instrText>
      </w:r>
      <w:r w:rsidR="00347A50" w:rsidRPr="00925C57">
        <w:rPr>
          <w:rFonts w:ascii="Malgun Gothic" w:eastAsia="Malgun Gothic" w:hAnsi="Malgun Gothic" w:cs="Malgun Gothic" w:hint="eastAsia"/>
        </w:rPr>
        <w:instrText>기초</w:instrText>
      </w:r>
      <w:r w:rsidR="00347A50" w:rsidRPr="00925C57">
        <w:instrText xml:space="preserve"> </w:instrText>
      </w:r>
      <w:r w:rsidR="00347A50" w:rsidRPr="00925C57">
        <w:rPr>
          <w:rFonts w:ascii="Malgun Gothic" w:eastAsia="Malgun Gothic" w:hAnsi="Malgun Gothic" w:cs="Malgun Gothic" w:hint="eastAsia"/>
        </w:rPr>
        <w:instrText>위에서</w:instrText>
      </w:r>
      <w:r w:rsidR="00347A50" w:rsidRPr="00925C57">
        <w:instrText xml:space="preserve"> </w:instrText>
      </w:r>
      <w:r w:rsidR="00347A50" w:rsidRPr="00925C57">
        <w:rPr>
          <w:rFonts w:ascii="Malgun Gothic" w:eastAsia="Malgun Gothic" w:hAnsi="Malgun Gothic" w:cs="Malgun Gothic" w:hint="eastAsia"/>
        </w:rPr>
        <w:instrText>향후</w:instrText>
      </w:r>
      <w:r w:rsidR="00347A50" w:rsidRPr="00925C57">
        <w:instrText xml:space="preserve"> </w:instrText>
      </w:r>
      <w:r w:rsidR="00347A50" w:rsidRPr="00925C57">
        <w:rPr>
          <w:rFonts w:ascii="Malgun Gothic" w:eastAsia="Malgun Gothic" w:hAnsi="Malgun Gothic" w:cs="Malgun Gothic" w:hint="eastAsia"/>
        </w:rPr>
        <w:instrText>연구의</w:instrText>
      </w:r>
      <w:r w:rsidR="00347A50" w:rsidRPr="00925C57">
        <w:instrText xml:space="preserve"> </w:instrText>
      </w:r>
      <w:r w:rsidR="00347A50" w:rsidRPr="00925C57">
        <w:rPr>
          <w:rFonts w:ascii="Malgun Gothic" w:eastAsia="Malgun Gothic" w:hAnsi="Malgun Gothic" w:cs="Malgun Gothic" w:hint="eastAsia"/>
        </w:rPr>
        <w:instrText>방향과</w:instrText>
      </w:r>
      <w:r w:rsidR="00347A50" w:rsidRPr="00925C57">
        <w:instrText xml:space="preserve"> </w:instrText>
      </w:r>
      <w:r w:rsidR="00347A50" w:rsidRPr="00925C57">
        <w:rPr>
          <w:rFonts w:ascii="Malgun Gothic" w:eastAsia="Malgun Gothic" w:hAnsi="Malgun Gothic" w:cs="Malgun Gothic" w:hint="eastAsia"/>
        </w:rPr>
        <w:instrText>과제를</w:instrText>
      </w:r>
      <w:r w:rsidR="00347A50" w:rsidRPr="00925C57">
        <w:instrText xml:space="preserve"> </w:instrText>
      </w:r>
      <w:r w:rsidR="00347A50" w:rsidRPr="00925C57">
        <w:rPr>
          <w:rFonts w:ascii="Malgun Gothic" w:eastAsia="Malgun Gothic" w:hAnsi="Malgun Gothic" w:cs="Malgun Gothic" w:hint="eastAsia"/>
        </w:rPr>
        <w:instrText>제시하고자</w:instrText>
      </w:r>
      <w:r w:rsidR="00347A50" w:rsidRPr="00925C57">
        <w:instrText xml:space="preserve"> </w:instrText>
      </w:r>
      <w:r w:rsidR="00347A50" w:rsidRPr="00925C57">
        <w:rPr>
          <w:rFonts w:ascii="Malgun Gothic" w:eastAsia="Malgun Gothic" w:hAnsi="Malgun Gothic" w:cs="Malgun Gothic" w:hint="eastAsia"/>
        </w:rPr>
        <w:instrText>한다</w:instrText>
      </w:r>
      <w:r w:rsidR="00347A50" w:rsidRPr="00925C57">
        <w:instrText>.","author":[{"dropping-particle":"","family":"Centers for Disease Control and Prevention (CDC)","given":"","non-dropping-particle":"","parse-names":false,"suffix":""}],"container-title":"Influenza (Flu)","id":"ITEM-1","issued":{"date-parts":[["2014"]]},"title":"Types of Influenza Viruses","type":"webpage","volume":"76"},"uris":["http://www.mendeley.com/documents/?uuid=2f6b23da-32f0-48be-8385-0726165a1a26","http://www.mendeley.com/documents/?uuid=1939c9b5-3cfc-416f-b218-df7ab22eee35"]}],"mendeley":{"formattedCitation":"[2]","manualFormatting":"2]","plainTextFormattedCitation":"[2]","previouslyFormattedCitation":"[2]"},"properties":{"noteIndex":0},"schema":"https://github.com/citation-style-language/schema/raw/master/csl-citation.json"}</w:instrText>
      </w:r>
      <w:r w:rsidRPr="00925C57">
        <w:fldChar w:fldCharType="separate"/>
      </w:r>
      <w:r w:rsidR="00347A50" w:rsidRPr="00925C57">
        <w:t>2]</w:t>
      </w:r>
      <w:r w:rsidRPr="00925C57">
        <w:fldChar w:fldCharType="end"/>
      </w:r>
      <w:r w:rsidR="00347A50" w:rsidRPr="00925C57">
        <w:t>.</w:t>
      </w:r>
    </w:p>
    <w:p w14:paraId="366F8B50" w14:textId="18FC9881" w:rsidR="0007329D" w:rsidRPr="00925C57" w:rsidRDefault="00E13973" w:rsidP="00FE407B">
      <w:pPr>
        <w:pStyle w:val="MDPI31text"/>
        <w:rPr>
          <w:b/>
        </w:rPr>
      </w:pPr>
      <w:r w:rsidRPr="00925C57">
        <w:t>Influenza A virus has</w:t>
      </w:r>
      <w:r w:rsidR="0007329D" w:rsidRPr="00925C57">
        <w:t xml:space="preserve"> two surface glycoproteins - hemagglutinin (HA) and neuraminidase (NA) that are divided int</w:t>
      </w:r>
      <w:r w:rsidR="00BD3B74" w:rsidRPr="00925C57">
        <w:t>o subtypes. T</w:t>
      </w:r>
      <w:r w:rsidR="0007329D" w:rsidRPr="00925C57">
        <w:t>here are 18 different HA subtyp</w:t>
      </w:r>
      <w:r w:rsidR="00347A50" w:rsidRPr="00925C57">
        <w:t xml:space="preserve">es and 11 different NA subtypes </w:t>
      </w:r>
      <w:r w:rsidR="008145E3" w:rsidRPr="00925C57">
        <w:fldChar w:fldCharType="begin" w:fldLock="1"/>
      </w:r>
      <w:r w:rsidR="00347A50" w:rsidRPr="00925C57">
        <w:instrText>ADDIN CSL_CITATION {"citationItems":[{"id":"ITEM-1","itemData":{"DOI":"10.2147/DDDT.S74061","ISSN":"11778881","PMID":"25489236","abstract":"Background: After the first epidemic wave from February through May 2013, the influenza A (H7N9) virus emerged and has followed a second epidemic wave since June 2013. As of June 27, 2014, the outbreak of H7N9 had caused 450 confirmed cases of human infection, with 165 deaths included. The case-fatality rate of all confirmed cases is about 36%, making the H7N9 virus a significant threat to people's health. At present, neuraminidase inhibitors are the only licensed antiviral medications available to treat H7N9 infections in humans. Oseltamivir is the most commonly used inhibitor, and it is also a front-line drug for the threatening H7N9. Unfortunately, it has been reported that patients treated with oseltamivir can induce R294K (Arg294Lys) substitution in the H7N9 virus, which is a rare mutation and can reduce the antiviral efficacy of inhibitors. Even worse, deaths caused by such mutation after oseltamivir treatment have already been reported, indicating that the need to find substitutive neuraminidase inhibitors for currently available drugs to treat drug-resistant H7N9 is really pressing.\nMaterials and methods: First, the structure of H7N9 containing the R294K substitution was downloaded from the Protein Data Bank, and structural information of approved drugs was downloaded from the ZINC (ZINC Is Not Commercial) database. Taking oseltamivir carboxylate as a reference drug, we then filtered these molecules through virtual screening to find out potential inhibitors targeting the mutated H7N9 virus. For further evaluation, we carried out a 14 ns molecular dynamic simulation for each H7N9–drug complex and calculated the binding energy for each candidate drug.\nResults: We found five inhibitors that could be candidate drugs for treating the mutated H7N9 virus. Docking poses showed these drugs could bind to the virus effectively, with the contribution of hydrogen bonds and hydrophobic interactions. With regard to the molecular dynamic simulations, receptor–ligand complexes formed by these candidate drugs were more stable than the one formed by oseltamivir carboxylate. The binding energy of oseltamivir carboxylate was –122.4 kJ/mol, while those for these potential inhibitors were –417.5, –404.7, –372.2, –304.3, and –289.9 kJ/mol, much better than the reference drug.\nConclusion: Given the current and future threat of the mutated H7N9 virus, it is urgent that potent drugs and effective antiviral therapeutics be found. Our study therefore is able tocomplement cu…","author":[{"dropping-particle":"","family":"He","given":"Jiao Yu","non-dropping-particle":"","parse-names":false,"suffix":""},{"dropping-particle":"","family":"Li","given":"Cheng","non-dropping-particle":"","parse-names":false,"suffix":""},{"dropping-particle":"","family":"Wu","given":"Guo","non-dropping-particle":"","parse-names":false,"suffix":""}],"container-title":"Drug Design, Development and Therapy","id":"ITEM-1","issued":{"date-parts":[["2014"]]},"page":"2377-2390","title":"Discovery of potential drugs for human-infecting H7N9 virus containing R294K mutation","type":"article-journal","volume":"8"},"uris":["http://www.mendeley.com/documents/?uuid=edb0b9cd-7a9e-44ea-8991-81144d918ce7","http://www.mendeley.com/documents/?uuid=b1f32b8e-3cd9-45d3-965d-03b09550b7c8"]}],"mendeley":{"formattedCitation":"[1]","manualFormatting":"[1","plainTextFormattedCitation":"[1]","previouslyFormattedCitation":"[1]"},"properties":{"noteIndex":0},"schema":"https://github.com/citation-style-language/schema/raw/master/csl-citation.json"}</w:instrText>
      </w:r>
      <w:r w:rsidR="008145E3" w:rsidRPr="00925C57">
        <w:fldChar w:fldCharType="separate"/>
      </w:r>
      <w:r w:rsidR="00347A50" w:rsidRPr="00925C57">
        <w:t>[1</w:t>
      </w:r>
      <w:r w:rsidR="008145E3" w:rsidRPr="00925C57">
        <w:fldChar w:fldCharType="end"/>
      </w:r>
      <w:r w:rsidR="00347A50" w:rsidRPr="00925C57">
        <w:t>,</w:t>
      </w:r>
      <w:r w:rsidR="008145E3" w:rsidRPr="00925C57">
        <w:fldChar w:fldCharType="begin" w:fldLock="1"/>
      </w:r>
      <w:r w:rsidR="00347A50" w:rsidRPr="00925C57">
        <w:instrText>ADDIN CSL_CITATION {"citationItems":[{"id":"ITEM-1","itemData":{"URL":"http://www.cdc.gov/flu/about/viruses/types.htm","abstract":"1992</w:instrText>
      </w:r>
      <w:r w:rsidR="00347A50" w:rsidRPr="00925C57">
        <w:rPr>
          <w:rFonts w:ascii="Malgun Gothic" w:eastAsia="Malgun Gothic" w:hAnsi="Malgun Gothic" w:cs="Malgun Gothic" w:hint="eastAsia"/>
        </w:rPr>
        <w:instrText>년</w:instrText>
      </w:r>
      <w:r w:rsidR="00347A50" w:rsidRPr="00925C57">
        <w:instrText xml:space="preserve"> </w:instrText>
      </w:r>
      <w:r w:rsidR="00347A50" w:rsidRPr="00925C57">
        <w:rPr>
          <w:rFonts w:ascii="Malgun Gothic" w:eastAsia="Malgun Gothic" w:hAnsi="Malgun Gothic" w:cs="Malgun Gothic" w:hint="eastAsia"/>
        </w:rPr>
        <w:instrText>한</w:instrText>
      </w:r>
      <w:r w:rsidR="00347A50" w:rsidRPr="00925C57">
        <w:instrText xml:space="preserve"> · </w:instrText>
      </w:r>
      <w:r w:rsidR="00347A50" w:rsidRPr="00925C57">
        <w:rPr>
          <w:rFonts w:ascii="Malgun Gothic" w:eastAsia="Malgun Gothic" w:hAnsi="Malgun Gothic" w:cs="Malgun Gothic" w:hint="eastAsia"/>
        </w:rPr>
        <w:instrText>중</w:instrText>
      </w:r>
      <w:r w:rsidR="00347A50" w:rsidRPr="00925C57">
        <w:instrText xml:space="preserve"> </w:instrText>
      </w:r>
      <w:r w:rsidR="00347A50" w:rsidRPr="00925C57">
        <w:rPr>
          <w:rFonts w:ascii="Malgun Gothic" w:eastAsia="Malgun Gothic" w:hAnsi="Malgun Gothic" w:cs="Malgun Gothic" w:hint="eastAsia"/>
        </w:rPr>
        <w:instrText>수교</w:instrText>
      </w:r>
      <w:r w:rsidR="00347A50" w:rsidRPr="00925C57">
        <w:instrText xml:space="preserve"> </w:instrText>
      </w:r>
      <w:r w:rsidR="00347A50" w:rsidRPr="00925C57">
        <w:rPr>
          <w:rFonts w:ascii="Malgun Gothic" w:eastAsia="Malgun Gothic" w:hAnsi="Malgun Gothic" w:cs="Malgun Gothic" w:hint="eastAsia"/>
        </w:rPr>
        <w:instrText>이후부터</w:instrText>
      </w:r>
      <w:r w:rsidR="00347A50" w:rsidRPr="00925C57">
        <w:instrText xml:space="preserve"> </w:instrText>
      </w:r>
      <w:r w:rsidR="00347A50" w:rsidRPr="00925C57">
        <w:rPr>
          <w:rFonts w:ascii="Malgun Gothic" w:eastAsia="Malgun Gothic" w:hAnsi="Malgun Gothic" w:cs="Malgun Gothic" w:hint="eastAsia"/>
        </w:rPr>
        <w:instrText>많은</w:instrText>
      </w:r>
      <w:r w:rsidR="00347A50" w:rsidRPr="00925C57">
        <w:instrText xml:space="preserve"> </w:instrText>
      </w:r>
      <w:r w:rsidR="00347A50" w:rsidRPr="00925C57">
        <w:rPr>
          <w:rFonts w:ascii="Malgun Gothic" w:eastAsia="Malgun Gothic" w:hAnsi="Malgun Gothic" w:cs="Malgun Gothic" w:hint="eastAsia"/>
        </w:rPr>
        <w:instrText>중국</w:instrText>
      </w:r>
      <w:r w:rsidR="00347A50" w:rsidRPr="00925C57">
        <w:instrText xml:space="preserve"> </w:instrText>
      </w:r>
      <w:r w:rsidR="00347A50" w:rsidRPr="00925C57">
        <w:rPr>
          <w:rFonts w:ascii="Malgun Gothic" w:eastAsia="Malgun Gothic" w:hAnsi="Malgun Gothic" w:cs="Malgun Gothic" w:hint="eastAsia"/>
        </w:rPr>
        <w:instrText>조선족들은</w:instrText>
      </w:r>
      <w:r w:rsidR="00347A50" w:rsidRPr="00925C57">
        <w:instrText xml:space="preserve"> </w:instrText>
      </w:r>
      <w:r w:rsidR="00347A50" w:rsidRPr="00925C57">
        <w:rPr>
          <w:rFonts w:ascii="Malgun Gothic" w:eastAsia="Malgun Gothic" w:hAnsi="Malgun Gothic" w:cs="Malgun Gothic" w:hint="eastAsia"/>
        </w:rPr>
        <w:instrText>경제적인</w:instrText>
      </w:r>
      <w:r w:rsidR="00347A50" w:rsidRPr="00925C57">
        <w:instrText xml:space="preserve"> </w:instrText>
      </w:r>
      <w:r w:rsidR="00347A50" w:rsidRPr="00925C57">
        <w:rPr>
          <w:rFonts w:ascii="Malgun Gothic" w:eastAsia="Malgun Gothic" w:hAnsi="Malgun Gothic" w:cs="Malgun Gothic" w:hint="eastAsia"/>
        </w:rPr>
        <w:instrText>부를</w:instrText>
      </w:r>
      <w:r w:rsidR="00347A50" w:rsidRPr="00925C57">
        <w:instrText xml:space="preserve"> </w:instrText>
      </w:r>
      <w:r w:rsidR="00347A50" w:rsidRPr="00925C57">
        <w:rPr>
          <w:rFonts w:ascii="Malgun Gothic" w:eastAsia="Malgun Gothic" w:hAnsi="Malgun Gothic" w:cs="Malgun Gothic" w:hint="eastAsia"/>
        </w:rPr>
        <w:instrText>축적하기</w:instrText>
      </w:r>
      <w:r w:rsidR="00347A50" w:rsidRPr="00925C57">
        <w:instrText xml:space="preserve"> </w:instrText>
      </w:r>
      <w:r w:rsidR="00347A50" w:rsidRPr="00925C57">
        <w:rPr>
          <w:rFonts w:ascii="Malgun Gothic" w:eastAsia="Malgun Gothic" w:hAnsi="Malgun Gothic" w:cs="Malgun Gothic" w:hint="eastAsia"/>
        </w:rPr>
        <w:instrText>위해</w:instrText>
      </w:r>
      <w:r w:rsidR="00347A50" w:rsidRPr="00925C57">
        <w:instrText xml:space="preserve"> </w:instrText>
      </w:r>
      <w:r w:rsidR="00347A50" w:rsidRPr="00925C57">
        <w:rPr>
          <w:rFonts w:ascii="Malgun Gothic" w:eastAsia="Malgun Gothic" w:hAnsi="Malgun Gothic" w:cs="Malgun Gothic" w:hint="eastAsia"/>
        </w:rPr>
        <w:instrText>한국으로</w:instrText>
      </w:r>
      <w:r w:rsidR="00347A50" w:rsidRPr="00925C57">
        <w:instrText xml:space="preserve"> </w:instrText>
      </w:r>
      <w:r w:rsidR="00347A50" w:rsidRPr="00925C57">
        <w:rPr>
          <w:rFonts w:ascii="Malgun Gothic" w:eastAsia="Malgun Gothic" w:hAnsi="Malgun Gothic" w:cs="Malgun Gothic" w:hint="eastAsia"/>
        </w:rPr>
        <w:instrText>입국하기</w:instrText>
      </w:r>
      <w:r w:rsidR="00347A50" w:rsidRPr="00925C57">
        <w:instrText xml:space="preserve"> </w:instrText>
      </w:r>
      <w:r w:rsidR="00347A50" w:rsidRPr="00925C57">
        <w:rPr>
          <w:rFonts w:ascii="Malgun Gothic" w:eastAsia="Malgun Gothic" w:hAnsi="Malgun Gothic" w:cs="Malgun Gothic" w:hint="eastAsia"/>
        </w:rPr>
        <w:instrText>시작했다</w:instrText>
      </w:r>
      <w:r w:rsidR="00347A50" w:rsidRPr="00925C57">
        <w:instrText xml:space="preserve">. </w:instrText>
      </w:r>
      <w:r w:rsidR="00347A50" w:rsidRPr="00925C57">
        <w:rPr>
          <w:rFonts w:ascii="Malgun Gothic" w:eastAsia="Malgun Gothic" w:hAnsi="Malgun Gothic" w:cs="Malgun Gothic" w:hint="eastAsia"/>
        </w:rPr>
        <w:instrText>더욱</w:instrText>
      </w:r>
      <w:r w:rsidR="00347A50" w:rsidRPr="00925C57">
        <w:instrText xml:space="preserve"> </w:instrText>
      </w:r>
      <w:r w:rsidR="00347A50" w:rsidRPr="00925C57">
        <w:rPr>
          <w:rFonts w:ascii="Malgun Gothic" w:eastAsia="Malgun Gothic" w:hAnsi="Malgun Gothic" w:cs="Malgun Gothic" w:hint="eastAsia"/>
        </w:rPr>
        <w:instrText>나은</w:instrText>
      </w:r>
      <w:r w:rsidR="00347A50" w:rsidRPr="00925C57">
        <w:instrText xml:space="preserve"> </w:instrText>
      </w:r>
      <w:r w:rsidR="00347A50" w:rsidRPr="00925C57">
        <w:rPr>
          <w:rFonts w:ascii="Malgun Gothic" w:eastAsia="Malgun Gothic" w:hAnsi="Malgun Gothic" w:cs="Malgun Gothic" w:hint="eastAsia"/>
        </w:rPr>
        <w:instrText>삶의</w:instrText>
      </w:r>
      <w:r w:rsidR="00347A50" w:rsidRPr="00925C57">
        <w:instrText xml:space="preserve"> </w:instrText>
      </w:r>
      <w:r w:rsidR="00347A50" w:rsidRPr="00925C57">
        <w:rPr>
          <w:rFonts w:ascii="Malgun Gothic" w:eastAsia="Malgun Gothic" w:hAnsi="Malgun Gothic" w:cs="Malgun Gothic" w:hint="eastAsia"/>
        </w:rPr>
        <w:instrText>기회를</w:instrText>
      </w:r>
      <w:r w:rsidR="00347A50" w:rsidRPr="00925C57">
        <w:instrText xml:space="preserve"> </w:instrText>
      </w:r>
      <w:r w:rsidR="00347A50" w:rsidRPr="00925C57">
        <w:rPr>
          <w:rFonts w:ascii="Malgun Gothic" w:eastAsia="Malgun Gothic" w:hAnsi="Malgun Gothic" w:cs="Malgun Gothic" w:hint="eastAsia"/>
        </w:rPr>
        <w:instrText>모색하기</w:instrText>
      </w:r>
      <w:r w:rsidR="00347A50" w:rsidRPr="00925C57">
        <w:instrText xml:space="preserve"> </w:instrText>
      </w:r>
      <w:r w:rsidR="00347A50" w:rsidRPr="00925C57">
        <w:rPr>
          <w:rFonts w:ascii="Malgun Gothic" w:eastAsia="Malgun Gothic" w:hAnsi="Malgun Gothic" w:cs="Malgun Gothic" w:hint="eastAsia"/>
        </w:rPr>
        <w:instrText>위해</w:instrText>
      </w:r>
      <w:r w:rsidR="00347A50" w:rsidRPr="00925C57">
        <w:instrText xml:space="preserve"> </w:instrText>
      </w:r>
      <w:r w:rsidR="00347A50" w:rsidRPr="00925C57">
        <w:rPr>
          <w:rFonts w:ascii="Malgun Gothic" w:eastAsia="Malgun Gothic" w:hAnsi="Malgun Gothic" w:cs="Malgun Gothic" w:hint="eastAsia"/>
        </w:rPr>
        <w:instrText>이동하는</w:instrText>
      </w:r>
      <w:r w:rsidR="00347A50" w:rsidRPr="00925C57">
        <w:instrText xml:space="preserve"> </w:instrText>
      </w:r>
      <w:r w:rsidR="00347A50" w:rsidRPr="00925C57">
        <w:rPr>
          <w:rFonts w:ascii="Malgun Gothic" w:eastAsia="Malgun Gothic" w:hAnsi="Malgun Gothic" w:cs="Malgun Gothic" w:hint="eastAsia"/>
        </w:rPr>
        <w:instrText>과정에서</w:instrText>
      </w:r>
      <w:r w:rsidR="00347A50" w:rsidRPr="00925C57">
        <w:instrText xml:space="preserve"> </w:instrText>
      </w:r>
      <w:r w:rsidR="00347A50" w:rsidRPr="00925C57">
        <w:rPr>
          <w:rFonts w:ascii="Malgun Gothic" w:eastAsia="Malgun Gothic" w:hAnsi="Malgun Gothic" w:cs="Malgun Gothic" w:hint="eastAsia"/>
        </w:rPr>
        <w:instrText>조선족들은</w:instrText>
      </w:r>
      <w:r w:rsidR="00347A50" w:rsidRPr="00925C57">
        <w:instrText xml:space="preserve"> </w:instrText>
      </w:r>
      <w:r w:rsidR="00347A50" w:rsidRPr="00925C57">
        <w:rPr>
          <w:rFonts w:ascii="Malgun Gothic" w:eastAsia="Malgun Gothic" w:hAnsi="Malgun Gothic" w:cs="Malgun Gothic" w:hint="eastAsia"/>
        </w:rPr>
        <w:instrText>예상의</w:instrText>
      </w:r>
      <w:r w:rsidR="00347A50" w:rsidRPr="00925C57">
        <w:instrText xml:space="preserve"> </w:instrText>
      </w:r>
      <w:r w:rsidR="00347A50" w:rsidRPr="00925C57">
        <w:rPr>
          <w:rFonts w:ascii="Malgun Gothic" w:eastAsia="Malgun Gothic" w:hAnsi="Malgun Gothic" w:cs="Malgun Gothic" w:hint="eastAsia"/>
        </w:rPr>
        <w:instrText>이익을</w:instrText>
      </w:r>
      <w:r w:rsidR="00347A50" w:rsidRPr="00925C57">
        <w:instrText xml:space="preserve"> </w:instrText>
      </w:r>
      <w:r w:rsidR="00347A50" w:rsidRPr="00925C57">
        <w:rPr>
          <w:rFonts w:ascii="Malgun Gothic" w:eastAsia="Malgun Gothic" w:hAnsi="Malgun Gothic" w:cs="Malgun Gothic" w:hint="eastAsia"/>
        </w:rPr>
        <w:instrText>얻었지만</w:instrText>
      </w:r>
      <w:r w:rsidR="00347A50" w:rsidRPr="00925C57">
        <w:instrText xml:space="preserve">, </w:instrText>
      </w:r>
      <w:r w:rsidR="00347A50" w:rsidRPr="00925C57">
        <w:rPr>
          <w:rFonts w:ascii="Malgun Gothic" w:eastAsia="Malgun Gothic" w:hAnsi="Malgun Gothic" w:cs="Malgun Gothic" w:hint="eastAsia"/>
        </w:rPr>
        <w:instrText>그들의</w:instrText>
      </w:r>
      <w:r w:rsidR="00347A50" w:rsidRPr="00925C57">
        <w:instrText xml:space="preserve"> </w:instrText>
      </w:r>
      <w:r w:rsidR="00347A50" w:rsidRPr="00925C57">
        <w:rPr>
          <w:rFonts w:ascii="Malgun Gothic" w:eastAsia="Malgun Gothic" w:hAnsi="Malgun Gothic" w:cs="Malgun Gothic" w:hint="eastAsia"/>
        </w:rPr>
        <w:instrText>이동은</w:instrText>
      </w:r>
      <w:r w:rsidR="00347A50" w:rsidRPr="00925C57">
        <w:instrText xml:space="preserve"> </w:instrText>
      </w:r>
      <w:r w:rsidR="00347A50" w:rsidRPr="00925C57">
        <w:rPr>
          <w:rFonts w:ascii="Malgun Gothic" w:eastAsia="Malgun Gothic" w:hAnsi="Malgun Gothic" w:cs="Malgun Gothic" w:hint="eastAsia"/>
        </w:rPr>
        <w:instrText>일련의</w:instrText>
      </w:r>
      <w:r w:rsidR="00347A50" w:rsidRPr="00925C57">
        <w:instrText xml:space="preserve"> </w:instrText>
      </w:r>
      <w:r w:rsidR="00347A50" w:rsidRPr="00925C57">
        <w:rPr>
          <w:rFonts w:ascii="Malgun Gothic" w:eastAsia="Malgun Gothic" w:hAnsi="Malgun Gothic" w:cs="Malgun Gothic" w:hint="eastAsia"/>
        </w:rPr>
        <w:instrText>사회문제를</w:instrText>
      </w:r>
      <w:r w:rsidR="00347A50" w:rsidRPr="00925C57">
        <w:instrText xml:space="preserve"> </w:instrText>
      </w:r>
      <w:r w:rsidR="00347A50" w:rsidRPr="00925C57">
        <w:rPr>
          <w:rFonts w:ascii="Malgun Gothic" w:eastAsia="Malgun Gothic" w:hAnsi="Malgun Gothic" w:cs="Malgun Gothic" w:hint="eastAsia"/>
        </w:rPr>
        <w:instrText>야기했으며</w:instrText>
      </w:r>
      <w:r w:rsidR="00347A50" w:rsidRPr="00925C57">
        <w:instrText xml:space="preserve"> </w:instrText>
      </w:r>
      <w:r w:rsidR="00347A50" w:rsidRPr="00925C57">
        <w:rPr>
          <w:rFonts w:ascii="Malgun Gothic" w:eastAsia="Malgun Gothic" w:hAnsi="Malgun Gothic" w:cs="Malgun Gothic" w:hint="eastAsia"/>
        </w:rPr>
        <w:instrText>그것은</w:instrText>
      </w:r>
      <w:r w:rsidR="00347A50" w:rsidRPr="00925C57">
        <w:instrText xml:space="preserve"> </w:instrText>
      </w:r>
      <w:r w:rsidR="00347A50" w:rsidRPr="00925C57">
        <w:rPr>
          <w:rFonts w:ascii="Malgun Gothic" w:eastAsia="Malgun Gothic" w:hAnsi="Malgun Gothic" w:cs="Malgun Gothic" w:hint="eastAsia"/>
        </w:rPr>
        <w:instrText>조선족</w:instrText>
      </w:r>
      <w:r w:rsidR="00347A50" w:rsidRPr="00925C57">
        <w:instrText xml:space="preserve"> </w:instrText>
      </w:r>
      <w:r w:rsidR="00347A50" w:rsidRPr="00925C57">
        <w:rPr>
          <w:rFonts w:ascii="Malgun Gothic" w:eastAsia="Malgun Gothic" w:hAnsi="Malgun Gothic" w:cs="Malgun Gothic" w:hint="eastAsia"/>
        </w:rPr>
        <w:instrText>사회변화의</w:instrText>
      </w:r>
      <w:r w:rsidR="00347A50" w:rsidRPr="00925C57">
        <w:instrText xml:space="preserve"> </w:instrText>
      </w:r>
      <w:r w:rsidR="00347A50" w:rsidRPr="00925C57">
        <w:rPr>
          <w:rFonts w:ascii="Malgun Gothic" w:eastAsia="Malgun Gothic" w:hAnsi="Malgun Gothic" w:cs="Malgun Gothic" w:hint="eastAsia"/>
        </w:rPr>
        <w:instrText>주요한</w:instrText>
      </w:r>
      <w:r w:rsidR="00347A50" w:rsidRPr="00925C57">
        <w:instrText xml:space="preserve"> </w:instrText>
      </w:r>
      <w:r w:rsidR="00347A50" w:rsidRPr="00925C57">
        <w:rPr>
          <w:rFonts w:ascii="Malgun Gothic" w:eastAsia="Malgun Gothic" w:hAnsi="Malgun Gothic" w:cs="Malgun Gothic" w:hint="eastAsia"/>
        </w:rPr>
        <w:instrText>요소로</w:instrText>
      </w:r>
      <w:r w:rsidR="00347A50" w:rsidRPr="00925C57">
        <w:instrText xml:space="preserve"> </w:instrText>
      </w:r>
      <w:r w:rsidR="00347A50" w:rsidRPr="00925C57">
        <w:rPr>
          <w:rFonts w:ascii="Malgun Gothic" w:eastAsia="Malgun Gothic" w:hAnsi="Malgun Gothic" w:cs="Malgun Gothic" w:hint="eastAsia"/>
        </w:rPr>
        <w:instrText>되었다</w:instrText>
      </w:r>
      <w:r w:rsidR="00347A50" w:rsidRPr="00925C57">
        <w:instrText xml:space="preserve">. </w:instrText>
      </w:r>
      <w:r w:rsidR="00347A50" w:rsidRPr="00925C57">
        <w:rPr>
          <w:rFonts w:ascii="Malgun Gothic" w:eastAsia="Malgun Gothic" w:hAnsi="Malgun Gothic" w:cs="Malgun Gothic" w:hint="eastAsia"/>
        </w:rPr>
        <w:instrText>본고에서는</w:instrText>
      </w:r>
      <w:r w:rsidR="00347A50" w:rsidRPr="00925C57">
        <w:instrText xml:space="preserve"> “</w:instrText>
      </w:r>
      <w:r w:rsidR="00347A50" w:rsidRPr="00925C57">
        <w:rPr>
          <w:rFonts w:ascii="Malgun Gothic" w:eastAsia="Malgun Gothic" w:hAnsi="Malgun Gothic" w:cs="Malgun Gothic" w:hint="eastAsia"/>
        </w:rPr>
        <w:instrText>코리안</w:instrText>
      </w:r>
      <w:r w:rsidR="00347A50" w:rsidRPr="00925C57">
        <w:instrText xml:space="preserve"> </w:instrText>
      </w:r>
      <w:r w:rsidR="00347A50" w:rsidRPr="00925C57">
        <w:rPr>
          <w:rFonts w:ascii="Malgun Gothic" w:eastAsia="Malgun Gothic" w:hAnsi="Malgun Gothic" w:cs="Malgun Gothic" w:hint="eastAsia"/>
        </w:rPr>
        <w:instrText>드림</w:instrText>
      </w:r>
      <w:r w:rsidR="00347A50" w:rsidRPr="00925C57">
        <w:rPr>
          <w:rFonts w:ascii="Calibri" w:hAnsi="Calibri" w:cs="Calibri"/>
        </w:rPr>
        <w:instrText>”</w:instrText>
      </w:r>
      <w:r w:rsidR="00347A50" w:rsidRPr="00925C57">
        <w:rPr>
          <w:rFonts w:ascii="Malgun Gothic" w:eastAsia="Malgun Gothic" w:hAnsi="Malgun Gothic" w:cs="Malgun Gothic" w:hint="eastAsia"/>
        </w:rPr>
        <w:instrText>을</w:instrText>
      </w:r>
      <w:r w:rsidR="00347A50" w:rsidRPr="00925C57">
        <w:instrText xml:space="preserve"> </w:instrText>
      </w:r>
      <w:r w:rsidR="00347A50" w:rsidRPr="00925C57">
        <w:rPr>
          <w:rFonts w:ascii="Malgun Gothic" w:eastAsia="Malgun Gothic" w:hAnsi="Malgun Gothic" w:cs="Malgun Gothic" w:hint="eastAsia"/>
        </w:rPr>
        <w:instrText>이루고자</w:instrText>
      </w:r>
      <w:r w:rsidR="00347A50" w:rsidRPr="00925C57">
        <w:instrText xml:space="preserve"> </w:instrText>
      </w:r>
      <w:r w:rsidR="00347A50" w:rsidRPr="00925C57">
        <w:rPr>
          <w:rFonts w:ascii="Malgun Gothic" w:eastAsia="Malgun Gothic" w:hAnsi="Malgun Gothic" w:cs="Malgun Gothic" w:hint="eastAsia"/>
        </w:rPr>
        <w:instrText>한국으로</w:instrText>
      </w:r>
      <w:r w:rsidR="00347A50" w:rsidRPr="00925C57">
        <w:instrText xml:space="preserve"> </w:instrText>
      </w:r>
      <w:r w:rsidR="00347A50" w:rsidRPr="00925C57">
        <w:rPr>
          <w:rFonts w:ascii="Malgun Gothic" w:eastAsia="Malgun Gothic" w:hAnsi="Malgun Gothic" w:cs="Malgun Gothic" w:hint="eastAsia"/>
        </w:rPr>
        <w:instrText>이동하는</w:instrText>
      </w:r>
      <w:r w:rsidR="00347A50" w:rsidRPr="00925C57">
        <w:instrText xml:space="preserve"> </w:instrText>
      </w:r>
      <w:r w:rsidR="00347A50" w:rsidRPr="00925C57">
        <w:rPr>
          <w:rFonts w:ascii="Malgun Gothic" w:eastAsia="Malgun Gothic" w:hAnsi="Malgun Gothic" w:cs="Malgun Gothic" w:hint="eastAsia"/>
        </w:rPr>
        <w:instrText>중국</w:instrText>
      </w:r>
      <w:r w:rsidR="00347A50" w:rsidRPr="00925C57">
        <w:instrText xml:space="preserve"> </w:instrText>
      </w:r>
      <w:r w:rsidR="00347A50" w:rsidRPr="00925C57">
        <w:rPr>
          <w:rFonts w:ascii="Malgun Gothic" w:eastAsia="Malgun Gothic" w:hAnsi="Malgun Gothic" w:cs="Malgun Gothic" w:hint="eastAsia"/>
        </w:rPr>
        <w:instrText>조선족들에</w:instrText>
      </w:r>
      <w:r w:rsidR="00347A50" w:rsidRPr="00925C57">
        <w:instrText xml:space="preserve"> </w:instrText>
      </w:r>
      <w:r w:rsidR="00347A50" w:rsidRPr="00925C57">
        <w:rPr>
          <w:rFonts w:ascii="Malgun Gothic" w:eastAsia="Malgun Gothic" w:hAnsi="Malgun Gothic" w:cs="Malgun Gothic" w:hint="eastAsia"/>
        </w:rPr>
        <w:instrText>초점을</w:instrText>
      </w:r>
      <w:r w:rsidR="00347A50" w:rsidRPr="00925C57">
        <w:instrText xml:space="preserve"> </w:instrText>
      </w:r>
      <w:r w:rsidR="00347A50" w:rsidRPr="00925C57">
        <w:rPr>
          <w:rFonts w:ascii="Malgun Gothic" w:eastAsia="Malgun Gothic" w:hAnsi="Malgun Gothic" w:cs="Malgun Gothic" w:hint="eastAsia"/>
        </w:rPr>
        <w:instrText>맞추어</w:instrText>
      </w:r>
      <w:r w:rsidR="00347A50" w:rsidRPr="00925C57">
        <w:instrText xml:space="preserve"> </w:instrText>
      </w:r>
      <w:r w:rsidR="00347A50" w:rsidRPr="00925C57">
        <w:rPr>
          <w:rFonts w:ascii="Malgun Gothic" w:eastAsia="Malgun Gothic" w:hAnsi="Malgun Gothic" w:cs="Malgun Gothic" w:hint="eastAsia"/>
        </w:rPr>
        <w:instrText>현재</w:instrText>
      </w:r>
      <w:r w:rsidR="00347A50" w:rsidRPr="00925C57">
        <w:instrText xml:space="preserve"> </w:instrText>
      </w:r>
      <w:r w:rsidR="00347A50" w:rsidRPr="00925C57">
        <w:rPr>
          <w:rFonts w:ascii="Malgun Gothic" w:eastAsia="Malgun Gothic" w:hAnsi="Malgun Gothic" w:cs="Malgun Gothic" w:hint="eastAsia"/>
        </w:rPr>
        <w:instrText>중국</w:instrText>
      </w:r>
      <w:r w:rsidR="00347A50" w:rsidRPr="00925C57">
        <w:instrText xml:space="preserve"> </w:instrText>
      </w:r>
      <w:r w:rsidR="00347A50" w:rsidRPr="00925C57">
        <w:rPr>
          <w:rFonts w:ascii="Malgun Gothic" w:eastAsia="Malgun Gothic" w:hAnsi="Malgun Gothic" w:cs="Malgun Gothic" w:hint="eastAsia"/>
        </w:rPr>
        <w:instrText>조선족의</w:instrText>
      </w:r>
      <w:r w:rsidR="00347A50" w:rsidRPr="00925C57">
        <w:instrText xml:space="preserve"> </w:instrText>
      </w:r>
      <w:r w:rsidR="00347A50" w:rsidRPr="00925C57">
        <w:rPr>
          <w:rFonts w:ascii="Malgun Gothic" w:eastAsia="Malgun Gothic" w:hAnsi="Malgun Gothic" w:cs="Malgun Gothic" w:hint="eastAsia"/>
        </w:rPr>
        <w:instrText>이동에</w:instrText>
      </w:r>
      <w:r w:rsidR="00347A50" w:rsidRPr="00925C57">
        <w:instrText xml:space="preserve"> </w:instrText>
      </w:r>
      <w:r w:rsidR="00347A50" w:rsidRPr="00925C57">
        <w:rPr>
          <w:rFonts w:ascii="Malgun Gothic" w:eastAsia="Malgun Gothic" w:hAnsi="Malgun Gothic" w:cs="Malgun Gothic" w:hint="eastAsia"/>
        </w:rPr>
        <w:instrText>관한</w:instrText>
      </w:r>
      <w:r w:rsidR="00347A50" w:rsidRPr="00925C57">
        <w:instrText xml:space="preserve"> </w:instrText>
      </w:r>
      <w:r w:rsidR="00347A50" w:rsidRPr="00925C57">
        <w:rPr>
          <w:rFonts w:ascii="Malgun Gothic" w:eastAsia="Malgun Gothic" w:hAnsi="Malgun Gothic" w:cs="Malgun Gothic" w:hint="eastAsia"/>
        </w:rPr>
        <w:instrText>연구의</w:instrText>
      </w:r>
      <w:r w:rsidR="00347A50" w:rsidRPr="00925C57">
        <w:instrText xml:space="preserve"> </w:instrText>
      </w:r>
      <w:r w:rsidR="00347A50" w:rsidRPr="00925C57">
        <w:rPr>
          <w:rFonts w:ascii="Malgun Gothic" w:eastAsia="Malgun Gothic" w:hAnsi="Malgun Gothic" w:cs="Malgun Gothic" w:hint="eastAsia"/>
        </w:rPr>
        <w:instrText>주요한</w:instrText>
      </w:r>
      <w:r w:rsidR="00347A50" w:rsidRPr="00925C57">
        <w:instrText xml:space="preserve"> </w:instrText>
      </w:r>
      <w:r w:rsidR="00347A50" w:rsidRPr="00925C57">
        <w:rPr>
          <w:rFonts w:ascii="Malgun Gothic" w:eastAsia="Malgun Gothic" w:hAnsi="Malgun Gothic" w:cs="Malgun Gothic" w:hint="eastAsia"/>
        </w:rPr>
        <w:instrText>관점</w:instrText>
      </w:r>
      <w:r w:rsidR="00347A50" w:rsidRPr="00925C57">
        <w:instrText xml:space="preserve">, </w:instrText>
      </w:r>
      <w:r w:rsidR="00347A50" w:rsidRPr="00925C57">
        <w:rPr>
          <w:rFonts w:ascii="Malgun Gothic" w:eastAsia="Malgun Gothic" w:hAnsi="Malgun Gothic" w:cs="Malgun Gothic" w:hint="eastAsia"/>
        </w:rPr>
        <w:instrText>연구</w:instrText>
      </w:r>
      <w:r w:rsidR="00347A50" w:rsidRPr="00925C57">
        <w:instrText xml:space="preserve"> </w:instrText>
      </w:r>
      <w:r w:rsidR="00347A50" w:rsidRPr="00925C57">
        <w:rPr>
          <w:rFonts w:ascii="Malgun Gothic" w:eastAsia="Malgun Gothic" w:hAnsi="Malgun Gothic" w:cs="Malgun Gothic" w:hint="eastAsia"/>
        </w:rPr>
        <w:instrText>시각들을</w:instrText>
      </w:r>
      <w:r w:rsidR="00347A50" w:rsidRPr="00925C57">
        <w:instrText xml:space="preserve"> </w:instrText>
      </w:r>
      <w:r w:rsidR="00347A50" w:rsidRPr="00925C57">
        <w:rPr>
          <w:rFonts w:ascii="Malgun Gothic" w:eastAsia="Malgun Gothic" w:hAnsi="Malgun Gothic" w:cs="Malgun Gothic" w:hint="eastAsia"/>
        </w:rPr>
        <w:instrText>정리한</w:instrText>
      </w:r>
      <w:r w:rsidR="00347A50" w:rsidRPr="00925C57">
        <w:instrText xml:space="preserve"> </w:instrText>
      </w:r>
      <w:r w:rsidR="00347A50" w:rsidRPr="00925C57">
        <w:rPr>
          <w:rFonts w:ascii="Malgun Gothic" w:eastAsia="Malgun Gothic" w:hAnsi="Malgun Gothic" w:cs="Malgun Gothic" w:hint="eastAsia"/>
        </w:rPr>
        <w:instrText>기초</w:instrText>
      </w:r>
      <w:r w:rsidR="00347A50" w:rsidRPr="00925C57">
        <w:instrText xml:space="preserve"> </w:instrText>
      </w:r>
      <w:r w:rsidR="00347A50" w:rsidRPr="00925C57">
        <w:rPr>
          <w:rFonts w:ascii="Malgun Gothic" w:eastAsia="Malgun Gothic" w:hAnsi="Malgun Gothic" w:cs="Malgun Gothic" w:hint="eastAsia"/>
        </w:rPr>
        <w:instrText>위에서</w:instrText>
      </w:r>
      <w:r w:rsidR="00347A50" w:rsidRPr="00925C57">
        <w:instrText xml:space="preserve"> </w:instrText>
      </w:r>
      <w:r w:rsidR="00347A50" w:rsidRPr="00925C57">
        <w:rPr>
          <w:rFonts w:ascii="Malgun Gothic" w:eastAsia="Malgun Gothic" w:hAnsi="Malgun Gothic" w:cs="Malgun Gothic" w:hint="eastAsia"/>
        </w:rPr>
        <w:instrText>향후</w:instrText>
      </w:r>
      <w:r w:rsidR="00347A50" w:rsidRPr="00925C57">
        <w:instrText xml:space="preserve"> </w:instrText>
      </w:r>
      <w:r w:rsidR="00347A50" w:rsidRPr="00925C57">
        <w:rPr>
          <w:rFonts w:ascii="Malgun Gothic" w:eastAsia="Malgun Gothic" w:hAnsi="Malgun Gothic" w:cs="Malgun Gothic" w:hint="eastAsia"/>
        </w:rPr>
        <w:instrText>연구의</w:instrText>
      </w:r>
      <w:r w:rsidR="00347A50" w:rsidRPr="00925C57">
        <w:instrText xml:space="preserve"> </w:instrText>
      </w:r>
      <w:r w:rsidR="00347A50" w:rsidRPr="00925C57">
        <w:rPr>
          <w:rFonts w:ascii="Malgun Gothic" w:eastAsia="Malgun Gothic" w:hAnsi="Malgun Gothic" w:cs="Malgun Gothic" w:hint="eastAsia"/>
        </w:rPr>
        <w:instrText>방향과</w:instrText>
      </w:r>
      <w:r w:rsidR="00347A50" w:rsidRPr="00925C57">
        <w:instrText xml:space="preserve"> </w:instrText>
      </w:r>
      <w:r w:rsidR="00347A50" w:rsidRPr="00925C57">
        <w:rPr>
          <w:rFonts w:ascii="Malgun Gothic" w:eastAsia="Malgun Gothic" w:hAnsi="Malgun Gothic" w:cs="Malgun Gothic" w:hint="eastAsia"/>
        </w:rPr>
        <w:instrText>과제를</w:instrText>
      </w:r>
      <w:r w:rsidR="00347A50" w:rsidRPr="00925C57">
        <w:instrText xml:space="preserve"> </w:instrText>
      </w:r>
      <w:r w:rsidR="00347A50" w:rsidRPr="00925C57">
        <w:rPr>
          <w:rFonts w:ascii="Malgun Gothic" w:eastAsia="Malgun Gothic" w:hAnsi="Malgun Gothic" w:cs="Malgun Gothic" w:hint="eastAsia"/>
        </w:rPr>
        <w:instrText>제시하고자</w:instrText>
      </w:r>
      <w:r w:rsidR="00347A50" w:rsidRPr="00925C57">
        <w:instrText xml:space="preserve"> </w:instrText>
      </w:r>
      <w:r w:rsidR="00347A50" w:rsidRPr="00925C57">
        <w:rPr>
          <w:rFonts w:ascii="Malgun Gothic" w:eastAsia="Malgun Gothic" w:hAnsi="Malgun Gothic" w:cs="Malgun Gothic" w:hint="eastAsia"/>
        </w:rPr>
        <w:instrText>한다</w:instrText>
      </w:r>
      <w:r w:rsidR="00347A50" w:rsidRPr="00925C57">
        <w:instrText>.","author":[{"dropping-particle":"","family":"Centers for Disease Control and Prevention (CDC)","given":"","non-dropping-particle":"","parse-names":false,"suffix":""}],"container-title":"Influenza (Flu)","id":"ITEM-1","issued":{"date-parts":[["2014"]]},"title":"Types of Influenza Viruses","type":"webpage","volume":"76"},"uris":["http://www.mendeley.com/documents/?uuid=1939c9b5-3cfc-416f-b218-df7ab22eee35","http://www.mendeley.com/documents/?uuid=2f6b23da-32f0-48be-8385-0726165a1a26"]}],"mendeley":{"formattedCitation":"[2]","manualFormatting":"2]","plainTextFormattedCitation":"[2]","previouslyFormattedCitation":"[2]"},"properties":{"noteIndex":0},"schema":"https://github.com/citation-style-language/schema/raw/master/csl-citation.json"}</w:instrText>
      </w:r>
      <w:r w:rsidR="008145E3" w:rsidRPr="00925C57">
        <w:fldChar w:fldCharType="separate"/>
      </w:r>
      <w:r w:rsidR="00347A50" w:rsidRPr="00925C57">
        <w:t>2]</w:t>
      </w:r>
      <w:r w:rsidR="008145E3" w:rsidRPr="00925C57">
        <w:fldChar w:fldCharType="end"/>
      </w:r>
      <w:r w:rsidR="00347A50" w:rsidRPr="00925C57">
        <w:t>.</w:t>
      </w:r>
      <w:r w:rsidR="0007329D" w:rsidRPr="00925C57">
        <w:t xml:space="preserve"> For instance, H7N9 type virus has a HA of H7 subtype and NA</w:t>
      </w:r>
      <w:r w:rsidR="00E06878" w:rsidRPr="00925C57">
        <w:t xml:space="preserve"> of N9 subtype</w:t>
      </w:r>
      <w:r w:rsidR="00347A50" w:rsidRPr="00925C57">
        <w:t xml:space="preserve"> </w:t>
      </w:r>
      <w:r w:rsidR="00AE1B48" w:rsidRPr="00925C57">
        <w:fldChar w:fldCharType="begin" w:fldLock="1"/>
      </w:r>
      <w:r w:rsidR="00347A50" w:rsidRPr="00925C57">
        <w:instrText>ADDIN CSL_CITATION {"citationItems":[{"id":"ITEM-1","itemData":{"DOI":"10.2147/DDDT.S74061","ISSN":"11778881","PMID":"25489236","abstract":"Background: After the first epidemic wave from February through May 2013, the influenza A (H7N9) virus emerged and has followed a second epidemic wave since June 2013. As of June 27, 2014, the outbreak of H7N9 had caused 450 confirmed cases of human infection, with 165 deaths included. The case-fatality rate of all confirmed cases is about 36%, making the H7N9 virus a significant threat to people's health. At present, neuraminidase inhibitors are the only licensed antiviral medications available to treat H7N9 infections in humans. Oseltamivir is the most commonly used inhibitor, and it is also a front-line drug for the threatening H7N9. Unfortunately, it has been reported that patients treated with oseltamivir can induce R294K (Arg294Lys) substitution in the H7N9 virus, which is a rare mutation and can reduce the antiviral efficacy of inhibitors. Even worse, deaths caused by such mutation after oseltamivir treatment have already been reported, indicating that the need to find substitutive neuraminidase inhibitors for currently available drugs to treat drug-resistant H7N9 is really pressing.\nMaterials and methods: First, the structure of H7N9 containing the R294K substitution was downloaded from the Protein Data Bank, and structural information of approved drugs was downloaded from the ZINC (ZINC Is Not Commercial) database. Taking oseltamivir carboxylate as a reference drug, we then filtered these molecules through virtual screening to find out potential inhibitors targeting the mutated H7N9 virus. For further evaluation, we carried out a 14 ns molecular dynamic simulation for each H7N9–drug complex and calculated the binding energy for each candidate drug.\nResults: We found five inhibitors that could be candidate drugs for treating the mutated H7N9 virus. Docking poses showed these drugs could bind to the virus effectively, with the contribution of hydrogen bonds and hydrophobic interactions. With regard to the molecular dynamic simulations, receptor–ligand complexes formed by these candidate drugs were more stable than the one formed by oseltamivir carboxylate. The binding energy of oseltamivir carboxylate was –122.4 kJ/mol, while those for these potential inhibitors were –417.5, –404.7, –372.2, –304.3, and –289.9 kJ/mol, much better than the reference drug.\nConclusion: Given the current and future threat of the mutated H7N9 virus, it is urgent that potent drugs and effective antiviral therapeutics be found. Our study therefore is able tocomplement cu…","author":[{"dropping-particle":"","family":"He","given":"Jiao Yu","non-dropping-particle":"","parse-names":false,"suffix":""},{"dropping-particle":"","family":"Li","given":"Cheng","non-dropping-particle":"","parse-names":false,"suffix":""},{"dropping-particle":"","family":"Wu","given":"Guo","non-dropping-particle":"","parse-names":false,"suffix":""}],"container-title":"Drug Design, Development and Therapy","id":"ITEM-1","issued":{"date-parts":[["2014"]]},"page":"2377-2390","title":"Discovery of potential drugs for human-infecting H7N9 virus containing R294K mutation","type":"article-journal","volume":"8"},"uris":["http://www.mendeley.com/documents/?uuid=edb0b9cd-7a9e-44ea-8991-81144d918ce7","http://www.mendeley.com/documents/?uuid=b1f32b8e-3cd9-45d3-965d-03b09550b7c8"]}],"mendeley":{"formattedCitation":"[1]","manualFormatting":"[1","plainTextFormattedCitation":"[1]","previouslyFormattedCitation":"[1]"},"properties":{"noteIndex":0},"schema":"https://github.com/citation-style-language/schema/raw/master/csl-citation.json"}</w:instrText>
      </w:r>
      <w:r w:rsidR="00AE1B48" w:rsidRPr="00925C57">
        <w:fldChar w:fldCharType="separate"/>
      </w:r>
      <w:r w:rsidR="00347A50" w:rsidRPr="00925C57">
        <w:t>[1</w:t>
      </w:r>
      <w:r w:rsidR="00AE1B48" w:rsidRPr="00925C57">
        <w:fldChar w:fldCharType="end"/>
      </w:r>
      <w:r w:rsidR="00347A50" w:rsidRPr="00925C57">
        <w:t>,</w:t>
      </w:r>
      <w:r w:rsidR="00082FEA" w:rsidRPr="00925C57">
        <w:fldChar w:fldCharType="begin" w:fldLock="1"/>
      </w:r>
      <w:r w:rsidR="00347A50" w:rsidRPr="00925C57">
        <w:instrText>ADDIN CSL_CITATION {"citationItems":[{"id":"ITEM-1","itemData":{"DOI":"10.1016/S0140-6736(13)60959-9","ISSN":"1474547X","author":[{"dropping-particle":"Van","family":"Ranst","given":"Marc","non-dropping-particle":"","parse-names":false,"suffix":""},{"dropping-particle":"","family":"Lemey","given":"Philippe","non-dropping-particle":"","parse-names":false,"suffix":""}],"container-title":"The Lancet","id":"ITEM-1","issue":"9881","issued":{"date-parts":[["2013"]]},"page":"1883-1885","title":"Genesis of avian-origin H7N9 influenza A viruses","type":"article","volume":"381"},"uris":["http://www.mendeley.com/documents/?uuid=5dc014f6-1ffe-466b-b521-eae8ce653bd2","http://www.mendeley.com/documents/?uuid=b60c9098-34ed-44a4-92dc-913ee25ca39b"]}],"mendeley":{"formattedCitation":"[3]","manualFormatting":"3]","plainTextFormattedCitation":"[3]","previouslyFormattedCitation":"[3]"},"properties":{"noteIndex":0},"schema":"https://github.com/citation-style-language/schema/raw/master/csl-citation.json"}</w:instrText>
      </w:r>
      <w:r w:rsidR="00082FEA" w:rsidRPr="00925C57">
        <w:fldChar w:fldCharType="separate"/>
      </w:r>
      <w:r w:rsidR="00347A50" w:rsidRPr="00925C57">
        <w:t>3]</w:t>
      </w:r>
      <w:r w:rsidR="00082FEA" w:rsidRPr="00925C57">
        <w:fldChar w:fldCharType="end"/>
      </w:r>
      <w:r w:rsidR="00347A50" w:rsidRPr="00925C57">
        <w:t>.</w:t>
      </w:r>
      <w:r w:rsidR="00E06878" w:rsidRPr="00925C57">
        <w:t xml:space="preserve"> HA binds</w:t>
      </w:r>
      <w:r w:rsidR="0007329D" w:rsidRPr="00925C57">
        <w:t xml:space="preserve"> the sialic acid-containing recep</w:t>
      </w:r>
      <w:r w:rsidR="00BD3B74" w:rsidRPr="00925C57">
        <w:t xml:space="preserve">tor on the </w:t>
      </w:r>
      <w:r w:rsidR="00E06878" w:rsidRPr="00925C57">
        <w:t>surface of host cell and promotes</w:t>
      </w:r>
      <w:r w:rsidR="0007329D" w:rsidRPr="00925C57">
        <w:t xml:space="preserve"> the fusion of the virus</w:t>
      </w:r>
      <w:r w:rsidR="00347A50" w:rsidRPr="00925C57">
        <w:t xml:space="preserve"> </w:t>
      </w:r>
      <w:r w:rsidR="00AE1B48" w:rsidRPr="00925C57">
        <w:fldChar w:fldCharType="begin" w:fldLock="1"/>
      </w:r>
      <w:r w:rsidR="00840F0E" w:rsidRPr="00925C57">
        <w:instrText>ADDIN CSL_CITATION {"citationItems":[{"id":"ITEM-1","itemData":{"DOI":"10.2147/DDDT.S74061","ISSN":"11778881","PMID":"25489236","abstract":"Background: After the first epidemic wave from February through May 2013, the influenza A (H7N9) virus emerged and has followed a second epidemic wave since June 2013. As of June 27, 2014, the outbreak of H7N9 had caused 450 confirmed cases of human infection, with 165 deaths included. The case-fatality rate of all confirmed cases is about 36%, making the H7N9 virus a significant threat to people's health. At present, neuraminidase inhibitors are the only licensed antiviral medications available to treat H7N9 infections in humans. Oseltamivir is the most commonly used inhibitor, and it is also a front-line drug for the threatening H7N9. Unfortunately, it has been reported that patients treated with oseltamivir can induce R294K (Arg294Lys) substitution in the H7N9 virus, which is a rare mutation and can reduce the antiviral efficacy of inhibitors. Even worse, deaths caused by such mutation after oseltamivir treatment have already been reported, indicating that the need to find substitutive neuraminidase inhibitors for currently available drugs to treat drug-resistant H7N9 is really pressing.\nMaterials and methods: First, the structure of H7N9 containing the R294K substitution was downloaded from the Protein Data Bank, and structural information of approved drugs was downloaded from the ZINC (ZINC Is Not Commercial) database. Taking oseltamivir carboxylate as a reference drug, we then filtered these molecules through virtual screening to find out potential inhibitors targeting the mutated H7N9 virus. For further evaluation, we carried out a 14 ns molecular dynamic simulation for each H7N9–drug complex and calculated the binding energy for each candidate drug.\nResults: We found five inhibitors that could be candidate drugs for treating the mutated H7N9 virus. Docking poses showed these drugs could bind to the virus effectively, with the contribution of hydrogen bonds and hydrophobic interactions. With regard to the molecular dynamic simulations, receptor–ligand complexes formed by these candidate drugs were more stable than the one formed by oseltamivir carboxylate. The binding energy of oseltamivir carboxylate was –122.4 kJ/mol, while those for these potential inhibitors were –417.5, –404.7, –372.2, –304.3, and –289.9 kJ/mol, much better than the reference drug.\nConclusion: Given the current and future threat of the mutated H7N9 virus, it is urgent that potent drugs and effective antiviral therapeutics be found. Our study therefore is able tocomplement cu…","author":[{"dropping-particle":"","family":"He","given":"Jiao Yu","non-dropping-particle":"","parse-names":false,"suffix":""},{"dropping-particle":"","family":"Li","given":"Cheng","non-dropping-particle":"","parse-names":false,"suffix":""},{"dropping-particle":"","family":"Wu","given":"Guo","non-dropping-particle":"","parse-names":false,"suffix":""}],"container-title":"Drug Design, Development and Therapy","id":"ITEM-1","issued":{"date-parts":[["2014"]]},"page":"2377-2390","title":"Discovery of potential drugs for human-infecting H7N9 virus containing R294K mutation","type":"article-journal","volume":"8"},"uris":["http://www.mendeley.com/documents/?uuid=edb0b9cd-7a9e-44ea-8991-81144d918ce7","http://www.mendeley.com/documents/?uuid=b1f32b8e-3cd9-45d3-965d-03b09550b7c8"]}],"mendeley":{"formattedCitation":"[1]","manualFormatting":"[1","plainTextFormattedCitation":"[1]","previouslyFormattedCitation":"[1]"},"properties":{"noteIndex":0},"schema":"https://github.com/citation-style-language/schema/raw/master/csl-citation.json"}</w:instrText>
      </w:r>
      <w:r w:rsidR="00AE1B48" w:rsidRPr="00925C57">
        <w:fldChar w:fldCharType="separate"/>
      </w:r>
      <w:r w:rsidR="00347A50" w:rsidRPr="00925C57">
        <w:t>[1</w:t>
      </w:r>
      <w:r w:rsidR="00AE1B48" w:rsidRPr="00925C57">
        <w:fldChar w:fldCharType="end"/>
      </w:r>
      <w:r w:rsidR="00347A50" w:rsidRPr="00925C57">
        <w:t>,</w:t>
      </w:r>
      <w:r w:rsidR="00082FEA" w:rsidRPr="00925C57">
        <w:fldChar w:fldCharType="begin" w:fldLock="1"/>
      </w:r>
      <w:r w:rsidR="00C807A8" w:rsidRPr="00925C57">
        <w:instrText>ADDIN CSL_CITATION {"citationItems":[{"id":"ITEM-1","itemData":{"DOI":"10.1073/pnas.2235620100","ISSN":"00278424","PMID":"14561897","abstract":"Lipid raft microdomains are enriched in sphingomyelin and cholesterol and function as platforms for signal transduction and as the site of budding of several enveloped viruses, including influenza virus. The influenza virus hemagglutinin (HA) glycoprotein, which mediates both viral-cell attachment and membrane fusion, associates intrinsically with lipid rafts. Residues in the HA transmembrane (TM) domain are important for raft association as sequence substitutions in the HA TM domain ablate HA association with rafts (nonraft HA). Cells expressing either WT or nonraft HA cause complete fusion (lipid mixing and content mixing) over widely varying HA expression levels. However, the number of fusion events measured for nonraft HA mutant protein at all HA surface densities was reduced to ≈55% of the events for WT HA protein. Mutant influenza viruses were generated that contain the nonraft HA TM domain alterations. Electron microscopy experiments showed that WT HA was distributed at the cell surface in clusters of 200-280 nm in diameter, whereas nonraft HA was distributed mostly randomly at the plasma membrane. Nonraft HA virus showed reduced budding, contained reduced amounts of HA protein, was greatly reduced in infectivity, and exhibited decreased virus-membrane fusion activity. Cholesterol depletion of virus did not affect the ability of virions to cause either virus-cell lipid mixing or virus-mediated hemolysis, a surrogate for content mixing. Taken together, the data suggest that HA clusters in rafts to provide a sufficient concentration of HA in budding virus to mediate efficient virus-cell fusion.","author":[{"dropping-particle":"","family":"Takeda","given":"Makoto","non-dropping-particle":"","parse-names":false,"suffix":""},{"dropping-particle":"","family":"Leser","given":"George P.","non-dropping-particle":"","parse-names":false,"suffix":""},{"dropping-particle":"","family":"Russell","given":"Charles J.","non-dropping-particle":"","parse-names":false,"suffix":""},{"dropping-particle":"","family":"Lamb","given":"Robert A.","non-dropping-particle":"","parse-names":false,"suffix":""}],"container-title":"Proceedings of the National Academy of Sciences of the United States of America","id":"ITEM-1","issue":"25","issued":{"date-parts":[["2003"]]},"page":"14610-14617","title":"Influenza virus hemagglutinin concentrates in lipid raft microdomains for efficient viral fusion","type":"article-journal","volume":"100"},"uris":["http://www.mendeley.com/documents/?uuid=f43985e8-146d-4db6-b1a2-ce9bf18b3ed9","http://www.mendeley.com/documents/?uuid=1e88ebbd-5a71-428b-9fbe-30a73f853c54"]}],"mendeley":{"formattedCitation":"[4]","manualFormatting":"4]","plainTextFormattedCitation":"[4]","previouslyFormattedCitation":"[4]"},"properties":{"noteIndex":0},"schema":"https://github.com/citation-style-language/schema/raw/master/csl-citation.json"}</w:instrText>
      </w:r>
      <w:r w:rsidR="00082FEA" w:rsidRPr="00925C57">
        <w:fldChar w:fldCharType="separate"/>
      </w:r>
      <w:r w:rsidR="00347A50" w:rsidRPr="00925C57">
        <w:t>4]</w:t>
      </w:r>
      <w:r w:rsidR="00082FEA" w:rsidRPr="00925C57">
        <w:fldChar w:fldCharType="end"/>
      </w:r>
      <w:r w:rsidR="00347A50" w:rsidRPr="00925C57">
        <w:t>.</w:t>
      </w:r>
      <w:r w:rsidR="0007329D" w:rsidRPr="00925C57">
        <w:t xml:space="preserve"> NA, instead, cleaves the bond between the sialic acid </w:t>
      </w:r>
      <w:r w:rsidR="00BD3B74" w:rsidRPr="00925C57">
        <w:t xml:space="preserve">of host cell receptor </w:t>
      </w:r>
      <w:r w:rsidR="0007329D" w:rsidRPr="00925C57">
        <w:t>and</w:t>
      </w:r>
      <w:r w:rsidR="00AF0284" w:rsidRPr="00925C57">
        <w:t xml:space="preserve"> the </w:t>
      </w:r>
      <w:r w:rsidR="00E06878" w:rsidRPr="00925C57">
        <w:t>newly formed</w:t>
      </w:r>
      <w:r w:rsidR="00AF0284" w:rsidRPr="00925C57">
        <w:t xml:space="preserve"> virions, thus</w:t>
      </w:r>
      <w:r w:rsidR="0007329D" w:rsidRPr="00925C57">
        <w:t>, facilitating the release of the last ones</w:t>
      </w:r>
      <w:r w:rsidR="00C807A8" w:rsidRPr="00925C57">
        <w:t xml:space="preserve"> </w:t>
      </w:r>
      <w:r w:rsidR="00AE1B48" w:rsidRPr="00925C57">
        <w:fldChar w:fldCharType="begin" w:fldLock="1"/>
      </w:r>
      <w:r w:rsidR="00C807A8" w:rsidRPr="00925C57">
        <w:instrText>ADDIN CSL_CITATION {"citationItems":[{"id":"ITEM-1","itemData":{"DOI":"10.2147/DDDT.S74061","ISSN":"11778881","PMID":"25489236","abstract":"Background: After the first epidemic wave from February through May 2013, the influenza A (H7N9) virus emerged and has followed a second epidemic wave since June 2013. As of June 27, 2014, the outbreak of H7N9 had caused 450 confirmed cases of human infection, with 165 deaths included. The case-fatality rate of all confirmed cases is about 36%, making the H7N9 virus a significant threat to people's health. At present, neuraminidase inhibitors are the only licensed antiviral medications available to treat H7N9 infections in humans. Oseltamivir is the most commonly used inhibitor, and it is also a front-line drug for the threatening H7N9. Unfortunately, it has been reported that patients treated with oseltamivir can induce R294K (Arg294Lys) substitution in the H7N9 virus, which is a rare mutation and can reduce the antiviral efficacy of inhibitors. Even worse, deaths caused by such mutation after oseltamivir treatment have already been reported, indicating that the need to find substitutive neuraminidase inhibitors for currently available drugs to treat drug-resistant H7N9 is really pressing.\nMaterials and methods: First, the structure of H7N9 containing the R294K substitution was downloaded from the Protein Data Bank, and structural information of approved drugs was downloaded from the ZINC (ZINC Is Not Commercial) database. Taking oseltamivir carboxylate as a reference drug, we then filtered these molecules through virtual screening to find out potential inhibitors targeting the mutated H7N9 virus. For further evaluation, we carried out a 14 ns molecular dynamic simulation for each H7N9–drug complex and calculated the binding energy for each candidate drug.\nResults: We found five inhibitors that could be candidate drugs for treating the mutated H7N9 virus. Docking poses showed these drugs could bind to the virus effectively, with the contribution of hydrogen bonds and hydrophobic interactions. With regard to the molecular dynamic simulations, receptor–ligand complexes formed by these candidate drugs were more stable than the one formed by oseltamivir carboxylate. The binding energy of oseltamivir carboxylate was –122.4 kJ/mol, while those for these potential inhibitors were –417.5, –404.7, –372.2, –304.3, and –289.9 kJ/mol, much better than the reference drug.\nConclusion: Given the current and future threat of the mutated H7N9 virus, it is urgent that potent drugs and effective antiviral therapeutics be found. Our study therefore is able tocomplement cu…","author":[{"dropping-particle":"","family":"He","given":"Jiao Yu","non-dropping-particle":"","parse-names":false,"suffix":""},{"dropping-particle":"","family":"Li","given":"Cheng","non-dropping-particle":"","parse-names":false,"suffix":""},{"dropping-particle":"","family":"Wu","given":"Guo","non-dropping-particle":"","parse-names":false,"suffix":""}],"container-title":"Drug Design, Development and Therapy","id":"ITEM-1","issued":{"date-parts":[["2014"]]},"page":"2377-2390","title":"Discovery of potential drugs for human-infecting H7N9 virus containing R294K mutation","type":"article-journal","volume":"8"},"uris":["http://www.mendeley.com/documents/?uuid=edb0b9cd-7a9e-44ea-8991-81144d918ce7","http://www.mendeley.com/documents/?uuid=b1f32b8e-3cd9-45d3-965d-03b09550b7c8"]}],"mendeley":{"formattedCitation":"[1]","manualFormatting":"[1","plainTextFormattedCitation":"[1]","previouslyFormattedCitation":"[1]"},"properties":{"noteIndex":0},"schema":"https://github.com/citation-style-language/schema/raw/master/csl-citation.json"}</w:instrText>
      </w:r>
      <w:r w:rsidR="00AE1B48" w:rsidRPr="00925C57">
        <w:fldChar w:fldCharType="separate"/>
      </w:r>
      <w:r w:rsidR="00347A50" w:rsidRPr="00925C57">
        <w:t>[1</w:t>
      </w:r>
      <w:r w:rsidR="00AE1B48" w:rsidRPr="00925C57">
        <w:fldChar w:fldCharType="end"/>
      </w:r>
      <w:r w:rsidR="00347A50" w:rsidRPr="00925C57">
        <w:t>,</w:t>
      </w:r>
      <w:r w:rsidR="00082FEA" w:rsidRPr="00925C57">
        <w:fldChar w:fldCharType="begin" w:fldLock="1"/>
      </w:r>
      <w:r w:rsidR="00C807A8" w:rsidRPr="00925C57">
        <w:instrText>ADDIN CSL_CITATION {"citationItems":[{"id":"ITEM-1","itemData":{"DOI":"10.1016/j.bpc.2009.12.002","ISSN":"03014622","PMID":"20045243","abstract":"The neuraminidase of the influenza virus is the target of antiviral drugs oseltamivir and zanamivir. Clinical practices have shown that zanamivir and oseltamivir are effective in treating the 2009 A(H1N1) influenza virus. However, drug resistance strains are also emerging. Herein, we report the findings from homology modeling and molecular simulations of 2009 A(H1N1) neuraminidase complexed with zanamivir, oseltamivir, and several herb extracts with potential activities. Our docked oseltamivir and zanamivir results are consistent with previous studies. Based on the same procedure, the docked results of herb extracts HR1039 and HR1040 suggest that they are potential potent inhibitors of neuraminidase. Also, the binding modes of HR1039/HR1040 are different from those of oseltmivir and zanamivir, and may be effective in treating oseltamivir-resistant influenza virus strains. © 2009 Elsevier B.V.","author":[{"dropping-particle":"","family":"Wang","given":"Yeng Tseng","non-dropping-particle":"","parse-names":false,"suffix":""},{"dropping-particle":"","family":"Chan","given":"Chen hsiung","non-dropping-particle":"","parse-names":false,"suffix":""},{"dropping-particle":"","family":"Su","given":"Zhi Yuan","non-dropping-particle":"","parse-names":false,"suffix":""},{"dropping-particle":"","family":"Chen","given":"Cheng Lung","non-dropping-particle":"","parse-names":false,"suffix":""}],"container-title":"Biophysical Chemistry","id":"ITEM-1","issue":"1-2","issued":{"date-parts":[["2010"]]},"page":"74-80","title":"Homology modeling, docking, and molecular dynamics reveal HR1039 as a potent inhibitor of 2009 A(H1N1) influenza neuraminidase","type":"article-journal","volume":"147"},"uris":["http://www.mendeley.com/documents/?uuid=218c2f39-2bcd-4a65-b6d1-e1082ef2fa88","http://www.mendeley.com/documents/?uuid=8c923869-f8bc-4f63-bcd6-39fdd9973ae7"]}],"mendeley":{"formattedCitation":"[5]","manualFormatting":"5]","plainTextFormattedCitation":"[5]","previouslyFormattedCitation":"[5]"},"properties":{"noteIndex":0},"schema":"https://github.com/citation-style-language/schema/raw/master/csl-citation.json"}</w:instrText>
      </w:r>
      <w:r w:rsidR="00082FEA" w:rsidRPr="00925C57">
        <w:fldChar w:fldCharType="separate"/>
      </w:r>
      <w:r w:rsidR="00347A50" w:rsidRPr="00925C57">
        <w:t>5]</w:t>
      </w:r>
      <w:r w:rsidR="00082FEA" w:rsidRPr="00925C57">
        <w:fldChar w:fldCharType="end"/>
      </w:r>
      <w:r w:rsidR="00C807A8" w:rsidRPr="00925C57">
        <w:t>.</w:t>
      </w:r>
      <w:r w:rsidR="0007329D" w:rsidRPr="00925C57">
        <w:t xml:space="preserve"> The </w:t>
      </w:r>
      <w:r w:rsidR="00E06878" w:rsidRPr="00925C57">
        <w:t>freshly released</w:t>
      </w:r>
      <w:r w:rsidR="0007329D" w:rsidRPr="00925C57">
        <w:t xml:space="preserve"> viruses represent an infection thr</w:t>
      </w:r>
      <w:r w:rsidR="00E06878" w:rsidRPr="00925C57">
        <w:t>eat for the healthy cells. Therefore</w:t>
      </w:r>
      <w:r w:rsidR="0007329D" w:rsidRPr="00925C57">
        <w:t xml:space="preserve">, NA plays a key role in virus spread in </w:t>
      </w:r>
      <w:r w:rsidR="002E27D7" w:rsidRPr="00925C57">
        <w:t xml:space="preserve">the </w:t>
      </w:r>
      <w:r w:rsidR="0007329D" w:rsidRPr="00925C57">
        <w:t>human body. Without NA, the influenza A virus would be limited to only one replication cycle, which is not sufficient for seri</w:t>
      </w:r>
      <w:r w:rsidR="006D6680" w:rsidRPr="00925C57">
        <w:t>ous infection</w:t>
      </w:r>
      <w:r w:rsidR="00C807A8" w:rsidRPr="00925C57">
        <w:t xml:space="preserve"> </w:t>
      </w:r>
      <w:r w:rsidR="00105DE3" w:rsidRPr="00925C57">
        <w:fldChar w:fldCharType="begin" w:fldLock="1"/>
      </w:r>
      <w:r w:rsidR="00C807A8" w:rsidRPr="00925C57">
        <w:instrText>ADDIN CSL_CITATION {"citationItems":[{"id":"ITEM-1","itemData":{"DOI":"10.2147/DDDT.S74061","ISSN":"11778881","PMID":"25489236","abstract":"Background: After the first epidemic wave from February through May 2013, the influenza A (H7N9) virus emerged and has followed a second epidemic wave since June 2013. As of June 27, 2014, the outbreak of H7N9 had caused 450 confirmed cases of human infection, with 165 deaths included. The case-fatality rate of all confirmed cases is about 36%, making the H7N9 virus a significant threat to people's health. At present, neuraminidase inhibitors are the only licensed antiviral medications available to treat H7N9 infections in humans. Oseltamivir is the most commonly used inhibitor, and it is also a front-line drug for the threatening H7N9. Unfortunately, it has been reported that patients treated with oseltamivir can induce R294K (Arg294Lys) substitution in the H7N9 virus, which is a rare mutation and can reduce the antiviral efficacy of inhibitors. Even worse, deaths caused by such mutation after oseltamivir treatment have already been reported, indicating that the need to find substitutive neuraminidase inhibitors for currently available drugs to treat drug-resistant H7N9 is really pressing.\nMaterials and methods: First, the structure of H7N9 containing the R294K substitution was downloaded from the Protein Data Bank, and structural information of approved drugs was downloaded from the ZINC (ZINC Is Not Commercial) database. Taking oseltamivir carboxylate as a reference drug, we then filtered these molecules through virtual screening to find out potential inhibitors targeting the mutated H7N9 virus. For further evaluation, we carried out a 14 ns molecular dynamic simulation for each H7N9–drug complex and calculated the binding energy for each candidate drug.\nResults: We found five inhibitors that could be candidate drugs for treating the mutated H7N9 virus. Docking poses showed these drugs could bind to the virus effectively, with the contribution of hydrogen bonds and hydrophobic interactions. With regard to the molecular dynamic simulations, receptor–ligand complexes formed by these candidate drugs were more stable than the one formed by oseltamivir carboxylate. The binding energy of oseltamivir carboxylate was –122.4 kJ/mol, while those for these potential inhibitors were –417.5, –404.7, –372.2, –304.3, and –289.9 kJ/mol, much better than the reference drug.\nConclusion: Given the current and future threat of the mutated H7N9 virus, it is urgent that potent drugs and effective antiviral therapeutics be found. Our study therefore is able tocomplement cu…","author":[{"dropping-particle":"","family":"He","given":"Jiao Yu","non-dropping-particle":"","parse-names":false,"suffix":""},{"dropping-particle":"","family":"Li","given":"Cheng","non-dropping-particle":"","parse-names":false,"suffix":""},{"dropping-particle":"","family":"Wu","given":"Guo","non-dropping-particle":"","parse-names":false,"suffix":""}],"container-title":"Drug Design, Development and Therapy","id":"ITEM-1","issued":{"date-parts":[["2014"]]},"page":"2377-2390","title":"Discovery of potential drugs for human-infecting H7N9 virus containing R294K mutation","type":"article-journal","volume":"8"},"uris":["http://www.mendeley.com/documents/?uuid=edb0b9cd-7a9e-44ea-8991-81144d918ce7","http://www.mendeley.com/documents/?uuid=b1f32b8e-3cd9-45d3-965d-03b09550b7c8"]}],"mendeley":{"formattedCitation":"[1]","manualFormatting":"[1","plainTextFormattedCitation":"[1]","previouslyFormattedCitation":"[1]"},"properties":{"noteIndex":0},"schema":"https://github.com/citation-style-language/schema/raw/master/csl-citation.json"}</w:instrText>
      </w:r>
      <w:r w:rsidR="00105DE3" w:rsidRPr="00925C57">
        <w:fldChar w:fldCharType="separate"/>
      </w:r>
      <w:r w:rsidR="00347A50" w:rsidRPr="00925C57">
        <w:t>[1</w:t>
      </w:r>
      <w:r w:rsidR="00105DE3" w:rsidRPr="00925C57">
        <w:fldChar w:fldCharType="end"/>
      </w:r>
      <w:r w:rsidR="00C807A8" w:rsidRPr="00925C57">
        <w:t>,</w:t>
      </w:r>
      <w:r w:rsidR="006D6680" w:rsidRPr="00925C57">
        <w:fldChar w:fldCharType="begin" w:fldLock="1"/>
      </w:r>
      <w:r w:rsidR="00C807A8" w:rsidRPr="00925C57">
        <w:instrText>ADDIN CSL_CITATION {"citationItems":[{"id":"ITEM-1","itemData":{"DOI":"10.1056/nejmra050740","ISSN":"0028-4793","PMID":"16192481","abstract":"The impact of influenza infection is felt globally each year when the disease develops in approximately 20 percent of the world's population. In the United States, influenza infections occur in epidemics each winter, generally between late December and early March. Recent events, including human cases of avian influenza, have heightened awareness of the threat of a pandemic and have spurred efforts to develop plans for its control. Although vaccination is the primary strategy for the prevention of influenza, there are a number of likely scenarios for which vaccination is inadequate and effective antiviral agents would be of the utmost importance. During any influenza season, antigenic drift in the virus may occur after formulation of the year's vaccine has taken place, rendering the vaccine less protective, and outbreaks can more easily occur among high-risk populations. In the course of a pandemic, vaccine supplies would be inadequate. Vaccine production by current methods cannot be carried out with the speed required to halt the progress of a new strain of influenza virus; therefore, it is likely that vaccine would not be available for the first wave of spread of virus.1 Antiviral agents thus form an important part of a rational approach to epidemic influenza and are critical to planning for a pandemic. (REVIEW)","author":[{"dropping-particle":"","family":"Moscona","given":"Anne","non-dropping-particle":"","parse-names":false,"suffix":""}],"container-title":"New England Journal of Medicine","id":"ITEM-1","issue":"13","issued":{"date-parts":[["2005"]]},"page":"1363-1373","title":"Neuraminidase Inhibitors for Influenza","type":"article-journal","volume":"353"},"uris":["http://www.mendeley.com/documents/?uuid=bba8e0e2-8e39-436f-9451-87cf2a9fb6ad","http://www.mendeley.com/documents/?uuid=ba9f807b-34d3-4283-b73d-de0d9570aeaf"]}],"mendeley":{"formattedCitation":"[6]","manualFormatting":"6]","plainTextFormattedCitation":"[6]","previouslyFormattedCitation":"[6]"},"properties":{"noteIndex":0},"schema":"https://github.com/citation-style-language/schema/raw/master/csl-citation.json"}</w:instrText>
      </w:r>
      <w:r w:rsidR="006D6680" w:rsidRPr="00925C57">
        <w:fldChar w:fldCharType="separate"/>
      </w:r>
      <w:r w:rsidR="00347A50" w:rsidRPr="00925C57">
        <w:t>6]</w:t>
      </w:r>
      <w:r w:rsidR="006D6680" w:rsidRPr="00925C57">
        <w:fldChar w:fldCharType="end"/>
      </w:r>
      <w:r w:rsidR="00C807A8" w:rsidRPr="00925C57">
        <w:t>.</w:t>
      </w:r>
      <w:r w:rsidR="00E05649" w:rsidRPr="00925C57">
        <w:t xml:space="preserve"> In other words</w:t>
      </w:r>
      <w:r w:rsidR="00E06878" w:rsidRPr="00925C57">
        <w:t>,</w:t>
      </w:r>
      <w:r w:rsidR="0007329D" w:rsidRPr="00925C57">
        <w:t xml:space="preserve"> NA </w:t>
      </w:r>
      <w:r w:rsidR="00E06878" w:rsidRPr="00925C57">
        <w:t xml:space="preserve">is a key enzyme and </w:t>
      </w:r>
      <w:r w:rsidR="0007329D" w:rsidRPr="00925C57">
        <w:t xml:space="preserve">represents an attractive target for anti-influenza drugs. </w:t>
      </w:r>
      <w:r w:rsidR="00E05649" w:rsidRPr="00925C57">
        <w:t xml:space="preserve">The overall dynamics of all influenza A virus mutations are complex and trigger from </w:t>
      </w:r>
      <w:r w:rsidR="00820FD5" w:rsidRPr="00925C57">
        <w:t>time-to-time</w:t>
      </w:r>
      <w:r w:rsidR="00E05649" w:rsidRPr="00925C57">
        <w:t xml:space="preserve"> major outbreaks and even a pandemic. To study a manageable example, we focus here on H7N9 influenza A virus and its neuraminidase and try to study major drug resistance mutations before they occur.</w:t>
      </w:r>
    </w:p>
    <w:p w14:paraId="704046EA" w14:textId="174D325A" w:rsidR="0007329D" w:rsidRPr="00925C57" w:rsidRDefault="0007329D" w:rsidP="00FE407B">
      <w:pPr>
        <w:pStyle w:val="MDPI31text"/>
      </w:pPr>
      <w:r w:rsidRPr="00925C57">
        <w:t>Several targets and the correspon</w:t>
      </w:r>
      <w:r w:rsidR="002A1FC9" w:rsidRPr="00925C57">
        <w:t>ding drugs were</w:t>
      </w:r>
      <w:r w:rsidR="00EE5830" w:rsidRPr="00925C57">
        <w:t xml:space="preserve"> </w:t>
      </w:r>
      <w:r w:rsidR="002A1FC9" w:rsidRPr="00925C57">
        <w:t>already</w:t>
      </w:r>
      <w:r w:rsidR="00EE5830" w:rsidRPr="00925C57">
        <w:t xml:space="preserve"> suggested for</w:t>
      </w:r>
      <w:r w:rsidRPr="00925C57">
        <w:t xml:space="preserve"> </w:t>
      </w:r>
      <w:r w:rsidR="002E27D7" w:rsidRPr="00925C57">
        <w:t>inhibition</w:t>
      </w:r>
      <w:r w:rsidRPr="00925C57">
        <w:t xml:space="preserve"> of </w:t>
      </w:r>
      <w:r w:rsidR="002E27D7" w:rsidRPr="00925C57">
        <w:t xml:space="preserve">the </w:t>
      </w:r>
      <w:r w:rsidRPr="00925C57">
        <w:t>influenza viru</w:t>
      </w:r>
      <w:r w:rsidR="00F471CC" w:rsidRPr="00925C57">
        <w:t>s replication cycle. For instance</w:t>
      </w:r>
      <w:r w:rsidRPr="00925C57">
        <w:t xml:space="preserve">, the drugs amantadine and </w:t>
      </w:r>
      <w:r w:rsidRPr="00925C57">
        <w:lastRenderedPageBreak/>
        <w:t>rimantadine are known as M2-ion channel blockers</w:t>
      </w:r>
      <w:r w:rsidR="00C807A8" w:rsidRPr="00925C57">
        <w:t xml:space="preserve"> </w:t>
      </w:r>
      <w:r w:rsidR="00325118" w:rsidRPr="00925C57">
        <w:fldChar w:fldCharType="begin" w:fldLock="1"/>
      </w:r>
      <w:r w:rsidR="00347A50" w:rsidRPr="00925C57">
        <w:instrText>ADDIN CSL_CITATION {"citationItems":[{"id":"ITEM-1","itemData":{"DOI":"10.1016/j.antiviral.2013.09.015","ISSN":"01663542","PMID":"24084488","abstract":"Favipiravir (T-705; 6-fluoro-3-hydroxy-2-pyrazinecarboxamide) is an antiviral drug that selectively inhibits the RNA-dependent RNA polymerase of influenza virus. It is phosphoribosylated by cellular enzymes to its active form, favipiravir-ribofuranosyl-5′-triphosphate (RTP). Its antiviral effect is attenuated by the addition of purine nucleic acids, indicating the viral RNA polymerase mistakenly recognizes favipiravir-RTP as a purine nucleotide. Favipiravir is active against a broad range of influenza viruses, including A(H1N1)pdm09, A(H5N1) and the recently emerged A(H7N9) avian virus. It also inhibits influenza strains resistant to current antiviral drugs, and shows a synergistic effect in combination with oseltamivir, thereby expanding influenza treatment options. A Phase III clinical evaluation of favipiravir for influenza therapy has been completed in Japan and two Phase II studies have been completed in the United States. In addition to its anti-influenza activity, favipiravir blocks the replication of many other RNA viruses, including arenaviruses (Junin, Machupo and Pichinde); phleboviruses (Rift Valley fever, sandfly fever and Punta Toro); hantaviruses (Maporal, Dobrava, and Prospect Hill); flaviviruses (yellow fever and West Nile); enteroviruses (polio- and rhinoviruses); an alphavirus, Western equine encephalitis virus; a paramyxovirus, respiratory syncytial virus; and noroviruses. With its unique mechanism of action and broad range of antiviral activity, favipiravir is a promising drug candidate for influenza and many other RNA viral diseases for which there are no approved therapies. © 2013 Elsevier B.V. All rights reserved.","author":[{"dropping-particle":"","family":"Furuta","given":"Yousuke","non-dropping-particle":"","parse-names":false,"suffix":""},{"dropping-particle":"","family":"Gowen","given":"Brian B.","non-dropping-particle":"","parse-names":false,"suffix":""},{"dropping-particle":"","family":"Takahashi","given":"Kazumi","non-dropping-particle":"","parse-names":false,"suffix":""},{"dropping-particle":"","family":"Shiraki","given":"Kimiyasu","non-dropping-particle":"","parse-names":false,"suffix":""},{"dropping-particle":"","family":"Smee","given":"Donald F.","non-dropping-particle":"","parse-names":false,"suffix":""},{"dropping-particle":"","family":"Barnard","given":"Dale L.","non-dropping-particle":"","parse-names":false,"suffix":""}],"container-title":"Antiviral Research","id":"ITEM-1","issue":"2","issued":{"date-parts":[["2013"]]},"page":"446-454","title":"Favipiravir (T-705), a novel viral RNA polymerase inhibitor","type":"article","volume":"100"},"uris":["http://www.mendeley.com/documents/?uuid=f2851ecf-5c90-48b2-86c0-56416d0c66e4","http://www.mendeley.com/documents/?uuid=fc3ca647-e0e4-4b11-9d94-9c9ee2af037b"]}],"mendeley":{"formattedCitation":"[7]","plainTextFormattedCitation":"[7]","previouslyFormattedCitation":"[7]"},"properties":{"noteIndex":0},"schema":"https://github.com/citation-style-language/schema/raw/master/csl-citation.json"}</w:instrText>
      </w:r>
      <w:r w:rsidR="00325118" w:rsidRPr="00925C57">
        <w:fldChar w:fldCharType="separate"/>
      </w:r>
      <w:r w:rsidR="00347A50" w:rsidRPr="00925C57">
        <w:t>[7]</w:t>
      </w:r>
      <w:r w:rsidR="00325118" w:rsidRPr="00925C57">
        <w:fldChar w:fldCharType="end"/>
      </w:r>
      <w:r w:rsidR="00C807A8" w:rsidRPr="00925C57">
        <w:t>.</w:t>
      </w:r>
      <w:r w:rsidRPr="00925C57">
        <w:t xml:space="preserve"> Favipiravir (T-705) is effective for the viral RNA polymerase inhibition</w:t>
      </w:r>
      <w:r w:rsidR="00C807A8" w:rsidRPr="00925C57">
        <w:t xml:space="preserve"> </w:t>
      </w:r>
      <w:r w:rsidR="00325118" w:rsidRPr="00925C57">
        <w:fldChar w:fldCharType="begin" w:fldLock="1"/>
      </w:r>
      <w:r w:rsidR="00347A50" w:rsidRPr="00925C57">
        <w:instrText>ADDIN CSL_CITATION {"citationItems":[{"id":"ITEM-1","itemData":{"DOI":"10.1016/j.antiviral.2013.09.015","ISSN":"01663542","PMID":"24084488","abstract":"Favipiravir (T-705; 6-fluoro-3-hydroxy-2-pyrazinecarboxamide) is an antiviral drug that selectively inhibits the RNA-dependent RNA polymerase of influenza virus. It is phosphoribosylated by cellular enzymes to its active form, favipiravir-ribofuranosyl-5′-triphosphate (RTP). Its antiviral effect is attenuated by the addition of purine nucleic acids, indicating the viral RNA polymerase mistakenly recognizes favipiravir-RTP as a purine nucleotide. Favipiravir is active against a broad range of influenza viruses, including A(H1N1)pdm09, A(H5N1) and the recently emerged A(H7N9) avian virus. It also inhibits influenza strains resistant to current antiviral drugs, and shows a synergistic effect in combination with oseltamivir, thereby expanding influenza treatment options. A Phase III clinical evaluation of favipiravir for influenza therapy has been completed in Japan and two Phase II studies have been completed in the United States. In addition to its anti-influenza activity, favipiravir blocks the replication of many other RNA viruses, including arenaviruses (Junin, Machupo and Pichinde); phleboviruses (Rift Valley fever, sandfly fever and Punta Toro); hantaviruses (Maporal, Dobrava, and Prospect Hill); flaviviruses (yellow fever and West Nile); enteroviruses (polio- and rhinoviruses); an alphavirus, Western equine encephalitis virus; a paramyxovirus, respiratory syncytial virus; and noroviruses. With its unique mechanism of action and broad range of antiviral activity, favipiravir is a promising drug candidate for influenza and many other RNA viral diseases for which there are no approved therapies. © 2013 Elsevier B.V. All rights reserved.","author":[{"dropping-particle":"","family":"Furuta","given":"Yousuke","non-dropping-particle":"","parse-names":false,"suffix":""},{"dropping-particle":"","family":"Gowen","given":"Brian B.","non-dropping-particle":"","parse-names":false,"suffix":""},{"dropping-particle":"","family":"Takahashi","given":"Kazumi","non-dropping-particle":"","parse-names":false,"suffix":""},{"dropping-particle":"","family":"Shiraki","given":"Kimiyasu","non-dropping-particle":"","parse-names":false,"suffix":""},{"dropping-particle":"","family":"Smee","given":"Donald F.","non-dropping-particle":"","parse-names":false,"suffix":""},{"dropping-particle":"","family":"Barnard","given":"Dale L.","non-dropping-particle":"","parse-names":false,"suffix":""}],"container-title":"Antiviral Research","id":"ITEM-1","issue":"2","issued":{"date-parts":[["2013"]]},"page":"446-454","title":"Favipiravir (T-705), a novel viral RNA polymerase inhibitor","type":"article","volume":"100"},"uris":["http://www.mendeley.com/documents/?uuid=fc3ca647-e0e4-4b11-9d94-9c9ee2af037b","http://www.mendeley.com/documents/?uuid=f2851ecf-5c90-48b2-86c0-56416d0c66e4"]}],"mendeley":{"formattedCitation":"[7]","plainTextFormattedCitation":"[7]","previouslyFormattedCitation":"[7]"},"properties":{"noteIndex":0},"schema":"https://github.com/citation-style-language/schema/raw/master/csl-citation.json"}</w:instrText>
      </w:r>
      <w:r w:rsidR="00325118" w:rsidRPr="00925C57">
        <w:fldChar w:fldCharType="separate"/>
      </w:r>
      <w:r w:rsidR="00347A50" w:rsidRPr="00925C57">
        <w:t>[7]</w:t>
      </w:r>
      <w:r w:rsidR="00325118" w:rsidRPr="00925C57">
        <w:fldChar w:fldCharType="end"/>
      </w:r>
      <w:r w:rsidR="00C807A8" w:rsidRPr="00925C57">
        <w:t>.</w:t>
      </w:r>
      <w:r w:rsidRPr="00925C57">
        <w:t xml:space="preserve"> Ribavirin, known as a nucleoside inhibitor, mainly targeted on viral RNA-dependent RNA polyme</w:t>
      </w:r>
      <w:r w:rsidR="00AF0284" w:rsidRPr="00925C57">
        <w:t>rase inhibition, has also demonstrated</w:t>
      </w:r>
      <w:r w:rsidRPr="00925C57">
        <w:t xml:space="preserve"> high antiviral activity to both</w:t>
      </w:r>
      <w:r w:rsidR="00DB10D2" w:rsidRPr="00925C57">
        <w:t>,</w:t>
      </w:r>
      <w:r w:rsidRPr="00925C57">
        <w:t xml:space="preserve"> </w:t>
      </w:r>
      <w:r w:rsidR="002772E6" w:rsidRPr="00925C57">
        <w:t xml:space="preserve">wild type and mutated </w:t>
      </w:r>
      <w:r w:rsidR="00DB10D2" w:rsidRPr="00925C57">
        <w:t>H7N9 virus</w:t>
      </w:r>
      <w:r w:rsidR="00C807A8" w:rsidRPr="00925C57">
        <w:t xml:space="preserve"> </w:t>
      </w:r>
      <w:r w:rsidR="008E29E3" w:rsidRPr="00925C57">
        <w:fldChar w:fldCharType="begin" w:fldLock="1"/>
      </w:r>
      <w:r w:rsidR="00347A50" w:rsidRPr="00925C57">
        <w:instrText>ADDIN CSL_CITATION {"citationItems":[{"id":"ITEM-1","itemData":{"DOI":"10.1007/s13238-016-0287-0","ISSN":"16748018","PMID":"27430950","author":[{"dropping-particle":"","family":"Bi","given":"Yuhai","non-dropping-particle":"","parse-names":false,"suffix":""},{"dropping-particle":"","family":"Wong","given":"Gary","non-dropping-particle":"","parse-names":false,"suffix":""},{"dropping-particle":"","family":"Liu","given":"Yingxia","non-dropping-particle":"","parse-names":false,"suffix":""},{"dropping-particle":"","family":"Liu","given":"Lei","non-dropping-particle":"","parse-names":false,"suffix":""},{"dropping-particle":"","family":"Gao","given":"George F.","non-dropping-particle":"","parse-names":false,"suffix":""},{"dropping-particle":"","family":"Shi","given":"Yi","non-dropping-particle":"","parse-names":false,"suffix":""}],"container-title":"Protein and Cell","id":"ITEM-1","issue":"8","issued":{"date-parts":[["2016"]]},"page":"611-614","title":"Ribavirin is effective against drug-resistant H7N9 influenza virus infections","type":"article","volume":"7"},"uris":["http://www.mendeley.com/documents/?uuid=588341a0-bad6-4071-9a44-28f1b4036f1a","http://www.mendeley.com/documents/?uuid=9633eb1e-c61b-451e-9d00-79626a50d323"]}],"mendeley":{"formattedCitation":"[8]","plainTextFormattedCitation":"[8]","previouslyFormattedCitation":"[8]"},"properties":{"noteIndex":0},"schema":"https://github.com/citation-style-language/schema/raw/master/csl-citation.json"}</w:instrText>
      </w:r>
      <w:r w:rsidR="008E29E3" w:rsidRPr="00925C57">
        <w:fldChar w:fldCharType="separate"/>
      </w:r>
      <w:r w:rsidR="00347A50" w:rsidRPr="00925C57">
        <w:t>[8]</w:t>
      </w:r>
      <w:r w:rsidR="008E29E3" w:rsidRPr="00925C57">
        <w:fldChar w:fldCharType="end"/>
      </w:r>
      <w:r w:rsidR="00C807A8" w:rsidRPr="00925C57">
        <w:t>.</w:t>
      </w:r>
      <w:r w:rsidR="00133DE4" w:rsidRPr="00925C57">
        <w:t xml:space="preserve"> </w:t>
      </w:r>
      <w:r w:rsidRPr="00925C57">
        <w:t xml:space="preserve">Similarly, the drug </w:t>
      </w:r>
      <w:proofErr w:type="spellStart"/>
      <w:r w:rsidRPr="00925C57">
        <w:t>Alferon</w:t>
      </w:r>
      <w:proofErr w:type="spellEnd"/>
      <w:r w:rsidRPr="00925C57">
        <w:t xml:space="preserve"> N</w:t>
      </w:r>
      <w:r w:rsidR="00AF0284" w:rsidRPr="00925C57">
        <w:t xml:space="preserve"> </w:t>
      </w:r>
      <w:r w:rsidRPr="00925C57">
        <w:t xml:space="preserve">(IFN-alpha) was </w:t>
      </w:r>
      <w:r w:rsidR="000840F0" w:rsidRPr="00925C57">
        <w:t>suggested to be highly effective</w:t>
      </w:r>
      <w:r w:rsidRPr="00925C57">
        <w:t xml:space="preserve"> against above mentioned </w:t>
      </w:r>
      <w:r w:rsidR="00DB10D2" w:rsidRPr="00925C57">
        <w:t>types of H7N9 virus</w:t>
      </w:r>
      <w:r w:rsidR="00C807A8" w:rsidRPr="00925C57">
        <w:t xml:space="preserve"> </w:t>
      </w:r>
      <w:r w:rsidR="001072A2" w:rsidRPr="00925C57">
        <w:fldChar w:fldCharType="begin" w:fldLock="1"/>
      </w:r>
      <w:r w:rsidR="00347A50" w:rsidRPr="00925C57">
        <w:instrText>ADDIN CSL_CITATION {"citationItems":[{"id":"ITEM-1","itemData":{"DOI":"10.1586/14787210.2014.870885","ISSN":"14787210","PMID":"24350808","abstract":"The novel avian H7N9 influenza virus has caused more than 130 human infections with 43 deaths (as of September, 2013) in China. Because of the lack of existing immunity against H7 subtype influenza viruses in the human population and the absence of a licensed commercial vaccine, antiviral drugs are critical tools for the treatment of infection with this novel H7N9. Both M2-ion channel blockers and neuraminidase inhibitors are used as antiviral drugs for influenza infections of humans. The emerging H7N9 viruses are resistant to the M2-ion channel blockers because of a S31N mutation in the M2 protein; additionally, some H7N9 isolates have gained neuraminidase R292K substitution resulting in broad resistance to neuraminidase inhibitors. In this study we report that Alferon N can inhibit wild type and 292K H7N9 viruses replication in vitro. Since Alferon N is approved for clinical use, this would allow a rapid regulatory approval process for this drug under pandemic threat. © 2014 Informa UK Ltd.","author":[{"dropping-particle":"","family":"Liu","given":"Qinfang","non-dropping-particle":"","parse-names":false,"suffix":""},{"dropping-particle":"","family":"Ma","given":"Jingjiao","non-dropping-particle":"","parse-names":false,"suffix":""},{"dropping-particle":"","family":"Strayer","given":"David R.","non-dropping-particle":"","parse-names":false,"suffix":""},{"dropping-particle":"","family":"Mitchell","given":"William M.","non-dropping-particle":"","parse-names":false,"suffix":""},{"dropping-particle":"","family":"Carter","given":"William A.","non-dropping-particle":"","parse-names":false,"suffix":""},{"dropping-particle":"","family":"Ma","given":"Wenjun","non-dropping-particle":"","parse-names":false,"suffix":""},{"dropping-particle":"","family":"Richt","given":"Juergen A.","non-dropping-particle":"","parse-names":false,"suffix":""}],"container-title":"Expert Review of Anti-Infective Therapy","id":"ITEM-1","issue":"2","issued":{"date-parts":[["2014"]]},"page":"165-169","title":"Emergence of a novel drug resistant H7N9 influenza virus: Evidence based clinical potential of a natural IFN-α for infection control and treatment","type":"article-journal","volume":"12"},"uris":["http://www.mendeley.com/documents/?uuid=6595bfe0-6b4d-4a7a-b8cb-6e0684ec69bb","http://www.mendeley.com/documents/?uuid=37bee244-50aa-4898-9d0c-0d0a9bc54896"]}],"mendeley":{"formattedCitation":"[9]","plainTextFormattedCitation":"[9]","previouslyFormattedCitation":"[9]"},"properties":{"noteIndex":0},"schema":"https://github.com/citation-style-language/schema/raw/master/csl-citation.json"}</w:instrText>
      </w:r>
      <w:r w:rsidR="001072A2" w:rsidRPr="00925C57">
        <w:fldChar w:fldCharType="separate"/>
      </w:r>
      <w:r w:rsidR="00347A50" w:rsidRPr="00925C57">
        <w:t>[9]</w:t>
      </w:r>
      <w:r w:rsidR="001072A2" w:rsidRPr="00925C57">
        <w:fldChar w:fldCharType="end"/>
      </w:r>
      <w:r w:rsidR="00C807A8" w:rsidRPr="00925C57">
        <w:t>.</w:t>
      </w:r>
    </w:p>
    <w:p w14:paraId="6CED6A74" w14:textId="3C36E087" w:rsidR="0007329D" w:rsidRPr="00925C57" w:rsidRDefault="00AF0284" w:rsidP="00FE407B">
      <w:pPr>
        <w:pStyle w:val="MDPI31text"/>
      </w:pPr>
      <w:r w:rsidRPr="00925C57">
        <w:t>T</w:t>
      </w:r>
      <w:r w:rsidR="0007329D" w:rsidRPr="00925C57">
        <w:t xml:space="preserve">he most frequently used drugs for influenza virus treatment, approved by </w:t>
      </w:r>
      <w:r w:rsidR="002E27D7" w:rsidRPr="00925C57">
        <w:t xml:space="preserve">the </w:t>
      </w:r>
      <w:r w:rsidR="00DB10D2" w:rsidRPr="00925C57">
        <w:t>World Health Organization, are Oseltamivir, Zanamivir, Peramivir and L</w:t>
      </w:r>
      <w:r w:rsidR="0007329D" w:rsidRPr="00925C57">
        <w:t>aninamivir</w:t>
      </w:r>
      <w:r w:rsidR="00685733" w:rsidRPr="00925C57">
        <w:t xml:space="preserve"> </w:t>
      </w:r>
      <w:r w:rsidR="00685733" w:rsidRPr="00925C57">
        <w:fldChar w:fldCharType="begin" w:fldLock="1"/>
      </w:r>
      <w:r w:rsidR="00C807A8" w:rsidRPr="00925C57">
        <w:instrText>ADDIN CSL_CITATION {"citationItems":[{"id":"ITEM-1","itemData":{"DOI":"10.2147/DDDT.S74061","ISSN":"11778881","PMID":"25489236","abstract":"Background: After the first epidemic wave from February through May 2013, the influenza A (H7N9) virus emerged and has followed a second epidemic wave since June 2013. As of June 27, 2014, the outbreak of H7N9 had caused 450 confirmed cases of human infection, with 165 deaths included. The case-fatality rate of all confirmed cases is about 36%, making the H7N9 virus a significant threat to people's health. At present, neuraminidase inhibitors are the only licensed antiviral medications available to treat H7N9 infections in humans. Oseltamivir is the most commonly used inhibitor, and it is also a front-line drug for the threatening H7N9. Unfortunately, it has been reported that patients treated with oseltamivir can induce R294K (Arg294Lys) substitution in the H7N9 virus, which is a rare mutation and can reduce the antiviral efficacy of inhibitors. Even worse, deaths caused by such mutation after oseltamivir treatment have already been reported, indicating that the need to find substitutive neuraminidase inhibitors for currently available drugs to treat drug-resistant H7N9 is really pressing.\nMaterials and methods: First, the structure of H7N9 containing the R294K substitution was downloaded from the Protein Data Bank, and structural information of approved drugs was downloaded from the ZINC (ZINC Is Not Commercial) database. Taking oseltamivir carboxylate as a reference drug, we then filtered these molecules through virtual screening to find out potential inhibitors targeting the mutated H7N9 virus. For further evaluation, we carried out a 14 ns molecular dynamic simulation for each H7N9–drug complex and calculated the binding energy for each candidate drug.\nResults: We found five inhibitors that could be candidate drugs for treating the mutated H7N9 virus. Docking poses showed these drugs could bind to the virus effectively, with the contribution of hydrogen bonds and hydrophobic interactions. With regard to the molecular dynamic simulations, receptor–ligand complexes formed by these candidate drugs were more stable than the one formed by oseltamivir carboxylate. The binding energy of oseltamivir carboxylate was –122.4 kJ/mol, while those for these potential inhibitors were –417.5, –404.7, –372.2, –304.3, and –289.9 kJ/mol, much better than the reference drug.\nConclusion: Given the current and future threat of the mutated H7N9 virus, it is urgent that potent drugs and effective antiviral therapeutics be found. Our study therefore is able tocomplement cu…","author":[{"dropping-particle":"","family":"He","given":"Jiao Yu","non-dropping-particle":"","parse-names":false,"suffix":""},{"dropping-particle":"","family":"Li","given":"Cheng","non-dropping-particle":"","parse-names":false,"suffix":""},{"dropping-particle":"","family":"Wu","given":"Guo","non-dropping-particle":"","parse-names":false,"suffix":""}],"container-title":"Drug Design, Development and Therapy","id":"ITEM-1","issued":{"date-parts":[["2014"]]},"page":"2377-2390","title":"Discovery of potential drugs for human-infecting H7N9 virus containing R294K mutation","type":"article-journal","volume":"8"},"uris":["http://www.mendeley.com/documents/?uuid=edb0b9cd-7a9e-44ea-8991-81144d918ce7","http://www.mendeley.com/documents/?uuid=b1f32b8e-3cd9-45d3-965d-03b09550b7c8"]}],"mendeley":{"formattedCitation":"[1]","manualFormatting":"[1","plainTextFormattedCitation":"[1]","previouslyFormattedCitation":"[1]"},"properties":{"noteIndex":0},"schema":"https://github.com/citation-style-language/schema/raw/master/csl-citation.json"}</w:instrText>
      </w:r>
      <w:r w:rsidR="00685733" w:rsidRPr="00925C57">
        <w:fldChar w:fldCharType="separate"/>
      </w:r>
      <w:r w:rsidR="00347A50" w:rsidRPr="00925C57">
        <w:t>[1</w:t>
      </w:r>
      <w:r w:rsidR="00685733" w:rsidRPr="00925C57">
        <w:fldChar w:fldCharType="end"/>
      </w:r>
      <w:r w:rsidR="00685733" w:rsidRPr="00925C57">
        <w:fldChar w:fldCharType="begin" w:fldLock="1"/>
      </w:r>
      <w:r w:rsidR="00C807A8" w:rsidRPr="00925C57">
        <w:instrText>ADDIN CSL_CITATION {"citationItems":[{"id":"ITEM-1","itemData":{"DOI":"10.1146/annurev.med.59.061506.213121","ISSN":"00664219","PMID":"17939760","abstract":"Antiviral drugs are important in the management of seasonal influenza and critical to pandemic planning. Although several other classes of anti-influenza compounds exist, the neuraminidase (NA) inhibitors are currently the only option in most clinical settings. These drugs, zanamivir and oseltamivir, prevent the release of newly replicated influenza virions from infected cells. They are highly effective when used for treatment of seasonal influenza early in the course of infection, or for prevention when given soon after exposure. Treatment strategies for avian influenza infections in humans are still provisional owing to inadequate clinical data. As predicted by molecular studies, resistance to the NA inhibitors is now emerging, although at a level less significant than adamantane resistance. NA inhibitor resistance is a cause for concern if indeed some mutant strains of avian influenza are transmissible and pathogenic. In the near term, appropriate use of the available NA inhibitors will be of major benefit in lessening morbidity and mortality due to influenza infection. Priorities include developing appropriate formulations and guidelines for use of these drugs in children and people infected with avian influenza, study of the mechanisms and clinical significance of drug resistance, and identification of new antiviral therapies that target different points in the viral life cycle in order to limit the effect of emerging drug resistance. Copyright © 2008 by Annual Reviews. All rights reserved.","author":[{"dropping-particle":"","family":"Moscona","given":"Anne","non-dropping-particle":"","parse-names":false,"suffix":""}],"container-title":"Annual Review of Medicine","id":"ITEM-1","issued":{"date-parts":[["2008"]]},"page":"397-413","title":"Medical management of influenza infection","type":"article","volume":"59"},"uris":["http://www.mendeley.com/documents/?uuid=afff318a-9585-4a56-a184-e7e9c1d2a45a","http://www.mendeley.com/documents/?uuid=ab393d30-17eb-47d4-8167-3f24abaac620"]}],"mendeley":{"formattedCitation":"[10]","manualFormatting":",10","plainTextFormattedCitation":"[10]","previouslyFormattedCitation":"[10]"},"properties":{"noteIndex":0},"schema":"https://github.com/citation-style-language/schema/raw/master/csl-citation.json"}</w:instrText>
      </w:r>
      <w:r w:rsidR="00685733" w:rsidRPr="00925C57">
        <w:fldChar w:fldCharType="separate"/>
      </w:r>
      <w:r w:rsidR="00C807A8" w:rsidRPr="00925C57">
        <w:t>,</w:t>
      </w:r>
      <w:r w:rsidR="00347A50" w:rsidRPr="00925C57">
        <w:t>10</w:t>
      </w:r>
      <w:r w:rsidR="00685733" w:rsidRPr="00925C57">
        <w:fldChar w:fldCharType="end"/>
      </w:r>
      <w:r w:rsidR="00672E11" w:rsidRPr="00925C57">
        <w:fldChar w:fldCharType="begin" w:fldLock="1"/>
      </w:r>
      <w:r w:rsidR="00C807A8" w:rsidRPr="00925C57">
        <w:instrText>ADDIN CSL_CITATION {"citationItems":[{"id":"ITEM-1","itemData":{"DOI":"10.1111/irv.12046","ISSN":"17502640","PMID":"23279892","abstract":"Currently, there are two commonly used classes of antiviral agents approved for the prevention of and treatment for influenza: the M2 Inhibitors (amantadine and rimantadine) and the neuraminidase inhibitors (oseltamivir, laninamivir, peramivir and zanamivir). These agents have been proven to be safe and effective alone or in combination for the treatment of uncomplicated influenza in otherwise healthy individuals. Although there are few prospective, randomized studies of these antivirals for the treatment of pregnant women, hospitalized patients, and immunocompromised patients infected with seasonal, pandemic, or avian H5N1 influenza, these agents are widely used for these indications. This article reviews the pharmacokinetics and clinical data available relative to the use of commercially available antiviral agents for the prevention of and treatment for influenza. © 2012 Blackwell Publishing Ltd.","author":[{"dropping-particle":"","family":"Ison","given":"Michael G.","non-dropping-particle":"","parse-names":false,"suffix":""}],"container-title":"Influenza and other Respiratory Viruses","id":"ITEM-1","issue":"1 SUPPL.1","issued":{"date-parts":[["2013"]]},"page":"7-13","title":"Clinical use of approved influenza antivirals: Therapy and prophylaxis","type":"article-journal","volume":"7"},"uris":["http://www.mendeley.com/documents/?uuid=8a808618-3936-41fe-aef9-2e19e668e105","http://www.mendeley.com/documents/?uuid=76ad34b0-b4d4-49a6-897d-ab2966904910"]}],"mendeley":{"formattedCitation":"[11]","manualFormatting":",11]","plainTextFormattedCitation":"[11]","previouslyFormattedCitation":"[11]"},"properties":{"noteIndex":0},"schema":"https://github.com/citation-style-language/schema/raw/master/csl-citation.json"}</w:instrText>
      </w:r>
      <w:r w:rsidR="00672E11" w:rsidRPr="00925C57">
        <w:fldChar w:fldCharType="separate"/>
      </w:r>
      <w:r w:rsidR="00C807A8" w:rsidRPr="00925C57">
        <w:t>,</w:t>
      </w:r>
      <w:r w:rsidR="00347A50" w:rsidRPr="00925C57">
        <w:t>11]</w:t>
      </w:r>
      <w:r w:rsidR="00672E11" w:rsidRPr="00925C57">
        <w:fldChar w:fldCharType="end"/>
      </w:r>
      <w:r w:rsidR="00C807A8" w:rsidRPr="00925C57">
        <w:t>.</w:t>
      </w:r>
      <w:r w:rsidR="0007329D" w:rsidRPr="00925C57">
        <w:t xml:space="preserve"> These drugs are known to target </w:t>
      </w:r>
      <w:r w:rsidR="002E27D7" w:rsidRPr="00925C57">
        <w:t xml:space="preserve">the </w:t>
      </w:r>
      <w:r w:rsidR="0007329D" w:rsidRPr="00925C57">
        <w:t>N9 type of NA and</w:t>
      </w:r>
      <w:r w:rsidRPr="00925C57">
        <w:t xml:space="preserve"> inhibit its activity. However, the virus can easily mutate and acquire resistance towards known medications. To date </w:t>
      </w:r>
      <w:r w:rsidR="0007329D" w:rsidRPr="00925C57">
        <w:t>the</w:t>
      </w:r>
      <w:r w:rsidR="002E27D7" w:rsidRPr="00925C57">
        <w:t>re is already an evidence for the</w:t>
      </w:r>
      <w:r w:rsidRPr="00925C57">
        <w:t xml:space="preserve"> R to K mutation in N9 </w:t>
      </w:r>
      <w:r w:rsidR="0007329D" w:rsidRPr="00925C57">
        <w:t>at posi</w:t>
      </w:r>
      <w:r w:rsidRPr="00925C57">
        <w:t xml:space="preserve">tion 294 (A/Shanghai/1/2013), which caused a severe resistance to </w:t>
      </w:r>
      <w:r w:rsidR="002E27D7" w:rsidRPr="00925C57">
        <w:t xml:space="preserve">the </w:t>
      </w:r>
      <w:r w:rsidRPr="00925C57">
        <w:t xml:space="preserve">drug </w:t>
      </w:r>
      <w:r w:rsidR="00450E7E" w:rsidRPr="00925C57">
        <w:t>O</w:t>
      </w:r>
      <w:r w:rsidR="0007329D" w:rsidRPr="00925C57">
        <w:t>seltamivir</w:t>
      </w:r>
      <w:r w:rsidR="00C807A8" w:rsidRPr="00925C57">
        <w:t xml:space="preserve"> </w:t>
      </w:r>
      <w:r w:rsidR="00665A6E" w:rsidRPr="00925C57">
        <w:fldChar w:fldCharType="begin" w:fldLock="1"/>
      </w:r>
      <w:r w:rsidR="00347A50" w:rsidRPr="00925C57">
        <w:instrText>ADDIN CSL_CITATION {"citationItems":[{"id":"ITEM-1","itemData":{"DOI":"10.1038/cr.2013.144","ISSN":"10010602","PMID":"24165891","abstract":"An epidemic of an avian-origin H7N9 influenza virus has recently emerged in China, infecting 134 patients of which 45 have died. This is the first time that an influenza virus harboring an N9 serotype neuraminidase (NA) has been known to infect humans. H7N9 viruses are divergent and at least two distinct NAs and hemagglutinins (HAs) have been found, respectively, from clinical isolates. The prototypes of these viruses are A/Anhui/1/2013 and A/Shanghai/1/2013. NAs from these two viruses are distinct as the A/Shanghai/1/2013 NA has an R294K substitution that can confer NA inhibitor oseltamivir resistance. Oseltamivir is by far the most commonly used anti-influenza drug due to its potency and high bioavailability. In this study, we show that an R294K substitution results in multidrug resistance with extreme oseltamivir resistance (over 100 000-fold) using protein- and virus-based assays. To determine the molecular basis for the inhibitor resistance, we solved high-resolution crystal structures of NAs from A/Anhui/1/2013 N9 (R294-containing) and A/Shanghai/1/2013 N9 (K294-containing). R294K substitution results in an unfavorable E276 conformation for oseltamivir binding, and consequently loss of inhibitor carboxylate interactions, which compromises the binding of all classical NA ligands/inhibitors. Moreover, we found that R294K substitution results in reduced NA catalytic efficiency along with lower viral fitness. This helps to explain why K294 has predominantly been found in clinical cases of H7N9 infection under the selective pressure of oseltamivir treatment and not in the dominant human-infecting viruses. This implies that oseltamivir can still be efficiently used in the treatment of H7N9 infections. © 2013 IBCB, SIBS, CAS All rights reserved.","author":[{"dropping-particle":"","family":"Wu","given":"Yan","non-dropping-particle":"","parse-names":false,"suffix":""},{"dropping-particle":"","family":"Bi","given":"Yuhai","non-dropping-particle":"","parse-names":false,"suffix":""},{"dropping-particle":"","family":"Vavricka","given":"Christopher J.","non-dropping-particle":"","parse-names":false,"suffix":""},{"dropping-particle":"","family":"Sun","given":"Xiaoman","non-dropping-particle":"","parse-names":false,"suffix":""},{"dropping-particle":"","family":"Zhang","given":"Yanfang","non-dropping-particle":"","parse-names":false,"suffix":""},{"dropping-particle":"","family":"Gao","given":"Feng","non-dropping-particle":"","parse-names":false,"suffix":""},{"dropping-particle":"","family":"Zhao","given":"Min","non-dropping-particle":"","parse-names":false,"suffix":""},{"dropping-particle":"","family":"Xiao","given":"Haixia","non-dropping-particle":"","parse-names":false,"suffix":""},{"dropping-particle":"","family":"Qin","given":"Chengfeng","non-dropping-particle":"","parse-names":false,"suffix":""},{"dropping-particle":"","family":"He","given":"Jianhua","non-dropping-particle":"","parse-names":false,"suffix":""},{"dropping-particle":"","family":"Liu","given":"Wenjun","non-dropping-particle":"","parse-names":false,"suffix":""},{"dropping-particle":"","family":"Yan","given":"Jinghua","non-dropping-particle":"","parse-names":false,"suffix":""},{"dropping-particle":"","family":"Qi","given":"Jianxun","non-dropping-particle":"","parse-names":false,"suffix":""},{"dropping-particle":"","family":"Gao","given":"George F.","non-dropping-particle":"","parse-names":false,"suffix":""}],"container-title":"Cell Research","id":"ITEM-1","issue":"12","issued":{"date-parts":[["2013"]]},"page":"1347-1355","title":"Characterization of two distinct neuraminidases from avian-origin human-infecting H7N9 influenza viruses","type":"article-journal","volume":"23"},"uris":["http://www.mendeley.com/documents/?uuid=d25534af-3051-4689-820a-1c2fc1725081","http://www.mendeley.com/documents/?uuid=c37c6db6-52fb-41d2-a19c-f0cb0f522b67"]}],"mendeley":{"formattedCitation":"[12]","plainTextFormattedCitation":"[12]","previouslyFormattedCitation":"[12]"},"properties":{"noteIndex":0},"schema":"https://github.com/citation-style-language/schema/raw/master/csl-citation.json"}</w:instrText>
      </w:r>
      <w:r w:rsidR="00665A6E" w:rsidRPr="00925C57">
        <w:fldChar w:fldCharType="separate"/>
      </w:r>
      <w:r w:rsidR="00347A50" w:rsidRPr="00925C57">
        <w:t>[12]</w:t>
      </w:r>
      <w:r w:rsidR="00665A6E" w:rsidRPr="00925C57">
        <w:fldChar w:fldCharType="end"/>
      </w:r>
      <w:r w:rsidR="00C807A8" w:rsidRPr="00925C57">
        <w:t>.</w:t>
      </w:r>
      <w:r w:rsidR="0007329D" w:rsidRPr="00925C57">
        <w:t xml:space="preserve"> </w:t>
      </w:r>
      <w:r w:rsidRPr="00925C57">
        <w:t>However, the r</w:t>
      </w:r>
      <w:r w:rsidR="0007329D" w:rsidRPr="00925C57">
        <w:t>esistance was not that strong to</w:t>
      </w:r>
      <w:r w:rsidRPr="00925C57">
        <w:t>wards</w:t>
      </w:r>
      <w:r w:rsidR="00DB10D2" w:rsidRPr="00925C57">
        <w:t xml:space="preserve"> Zanamivir, Peramivir and L</w:t>
      </w:r>
      <w:r w:rsidR="0007329D" w:rsidRPr="00925C57">
        <w:t>aninamivir. Several drugs have been suggested to improve the binding to t</w:t>
      </w:r>
      <w:r w:rsidRPr="00925C57">
        <w:t>he active site of the mutated</w:t>
      </w:r>
      <w:r w:rsidR="0007329D" w:rsidRPr="00925C57">
        <w:t xml:space="preserve"> subtype of NA. For example, Liu et al.</w:t>
      </w:r>
      <w:r w:rsidR="00672E11" w:rsidRPr="00925C57">
        <w:fldChar w:fldCharType="begin" w:fldLock="1"/>
      </w:r>
      <w:r w:rsidR="00347A50" w:rsidRPr="00925C57">
        <w:instrText>ADDIN CSL_CITATION {"citationItems":[{"id":"ITEM-1","itemData":{"DOI":"10.1155/2015/480764","ISSN":"17486718","PMID":"25861376","abstract":"As a new strain of virus emerged in 2013, avian influenza A (H7N9) virus is a threat to the public health, due to its high lethality and pathogenicity. Furthermore, H7N9 has already generated various mutations such as neuraminidase R294K mutation which could make the anti-influenza oseltamivir less effective or ineffective. In this regard, it is urgent to develop new effective anti-H7N9 drug. In this study, we used the general H7N9 neuraminidase and oseltamivir-resistant influenza virus neuraminidase as the acceptors and employed the small molecules including quercetin, chlorogenic acid, baicalein, and oleanolic acid as the donors to perform the molecular docking for exploring the binding abilities between these small molecules and neuraminidase. The results showed that quercetin, chlorogenic acid, oleanolic acid, and baicalein present oseltamivir-comparable high binding potentials with neuraminidase. Further analyses showed that R294K mutation in neuraminidase could remarkably decrease the binding energies for oseltamivir, while other small molecules showed stable binding abilities with mutated neuraminidase. Taken together, the molecular docking studies identified four potential inhibitors for neuraminidase of H7N9, which might be effective for the drug-resistant mutants.","author":[{"dropping-particle":"","family":"Liu","given":"Zekun","non-dropping-particle":"","parse-names":false,"suffix":""},{"dropping-particle":"","family":"Zhao","given":"Junpeng","non-dropping-particle":"","parse-names":false,"suffix":""},{"dropping-particle":"","family":"Li","given":"Weichen","non-dropping-particle":"","parse-names":false,"suffix":""},{"dropping-particle":"","family":"Wang","given":"Xinkun","non-dropping-particle":"","parse-names":false,"suffix":""},{"dropping-particle":"","family":"Xu","given":"Jingxuan","non-dropping-particle":"","parse-names":false,"suffix":""},{"dropping-particle":"","family":"Xie","given":"Jin","non-dropping-particle":"","parse-names":false,"suffix":""},{"dropping-particle":"","family":"Tao","given":"Ke","non-dropping-particle":"","parse-names":false,"suffix":""},{"dropping-particle":"","family":"Shen","given":"Li","non-dropping-particle":"","parse-names":false,"suffix":""},{"dropping-particle":"","family":"Zhang","given":"Ran","non-dropping-particle":"","parse-names":false,"suffix":""}],"container-title":"Computational and Mathematical Methods in Medicine","id":"ITEM-1","issued":{"date-parts":[["2015"]]},"title":"Molecular docking of potential inhibitors for influenza H7N9","type":"article-journal","volume":"2015"},"uris":["http://www.mendeley.com/documents/?uuid=0059f069-6bc5-4733-8d7d-9293721f976a","http://www.mendeley.com/documents/?uuid=2b89f5ff-d380-4b30-9294-8174710b45d3"]}],"mendeley":{"formattedCitation":"[13]","plainTextFormattedCitation":"[13]","previouslyFormattedCitation":"[13]"},"properties":{"noteIndex":0},"schema":"https://github.com/citation-style-language/schema/raw/master/csl-citation.json"}</w:instrText>
      </w:r>
      <w:r w:rsidR="00672E11" w:rsidRPr="00925C57">
        <w:fldChar w:fldCharType="separate"/>
      </w:r>
      <w:r w:rsidR="00347A50" w:rsidRPr="00925C57">
        <w:t>[13]</w:t>
      </w:r>
      <w:r w:rsidR="00672E11" w:rsidRPr="00925C57">
        <w:fldChar w:fldCharType="end"/>
      </w:r>
      <w:r w:rsidR="009B63A9" w:rsidRPr="00925C57">
        <w:t xml:space="preserve"> in th</w:t>
      </w:r>
      <w:r w:rsidR="0007329D" w:rsidRPr="00925C57">
        <w:t>e</w:t>
      </w:r>
      <w:r w:rsidR="009B63A9" w:rsidRPr="00925C57">
        <w:t>ir work</w:t>
      </w:r>
      <w:r w:rsidR="0007329D" w:rsidRPr="00925C57">
        <w:t xml:space="preserve"> suggested quercetin, chlorogenic acid, oleanolic acid and </w:t>
      </w:r>
      <w:r w:rsidR="00787A7E" w:rsidRPr="00925C57">
        <w:t>baicalein</w:t>
      </w:r>
      <w:r w:rsidR="0007329D" w:rsidRPr="00925C57">
        <w:t xml:space="preserve"> – the bioactive components from traditional Chinese </w:t>
      </w:r>
      <w:r w:rsidR="002E27D7" w:rsidRPr="00925C57">
        <w:t xml:space="preserve">plant </w:t>
      </w:r>
      <w:r w:rsidR="0007329D" w:rsidRPr="00925C57">
        <w:t xml:space="preserve">medicine. According to the obtained results, these compounds have shown stronger bindings to the active site </w:t>
      </w:r>
      <w:r w:rsidR="00450E7E" w:rsidRPr="00925C57">
        <w:t>of R294K mutant NA rather than O</w:t>
      </w:r>
      <w:r w:rsidR="0007329D" w:rsidRPr="00925C57">
        <w:t>seltamivir. Other possible inhibitors</w:t>
      </w:r>
      <w:r w:rsidRPr="00925C57">
        <w:t xml:space="preserve"> showing better binding properties</w:t>
      </w:r>
      <w:r w:rsidR="0007329D" w:rsidRPr="00925C57">
        <w:t xml:space="preserve"> were suggested by </w:t>
      </w:r>
      <w:r w:rsidR="002E27D7" w:rsidRPr="00925C57">
        <w:t xml:space="preserve">the </w:t>
      </w:r>
      <w:r w:rsidR="0007329D" w:rsidRPr="00925C57">
        <w:t>group of</w:t>
      </w:r>
      <w:r w:rsidRPr="00925C57">
        <w:t xml:space="preserve"> He et al.</w:t>
      </w:r>
      <w:r w:rsidR="00C807A8" w:rsidRPr="00925C57">
        <w:t xml:space="preserve"> </w:t>
      </w:r>
      <w:r w:rsidR="00F92BC6" w:rsidRPr="00925C57">
        <w:fldChar w:fldCharType="begin" w:fldLock="1"/>
      </w:r>
      <w:r w:rsidR="00347A50" w:rsidRPr="00925C57">
        <w:instrText>ADDIN CSL_CITATION {"citationItems":[{"id":"ITEM-1","itemData":{"DOI":"10.2147/DDDT.S74061","ISSN":"11778881","PMID":"25489236","abstract":"Background: After the first epidemic wave from February through May 2013, the influenza A (H7N9) virus emerged and has followed a second epidemic wave since June 2013. As of June 27, 2014, the outbreak of H7N9 had caused 450 confirmed cases of human infection, with 165 deaths included. The case-fatality rate of all confirmed cases is about 36%, making the H7N9 virus a significant threat to people's health. At present, neuraminidase inhibitors are the only licensed antiviral medications available to treat H7N9 infections in humans. Oseltamivir is the most commonly used inhibitor, and it is also a front-line drug for the threatening H7N9. Unfortunately, it has been reported that patients treated with oseltamivir can induce R294K (Arg294Lys) substitution in the H7N9 virus, which is a rare mutation and can reduce the antiviral efficacy of inhibitors. Even worse, deaths caused by such mutation after oseltamivir treatment have already been reported, indicating that the need to find substitutive neuraminidase inhibitors for currently available drugs to treat drug-resistant H7N9 is really pressing.\nMaterials and methods: First, the structure of H7N9 containing the R294K substitution was downloaded from the Protein Data Bank, and structural information of approved drugs was downloaded from the ZINC (ZINC Is Not Commercial) database. Taking oseltamivir carboxylate as a reference drug, we then filtered these molecules through virtual screening to find out potential inhibitors targeting the mutated H7N9 virus. For further evaluation, we carried out a 14 ns molecular dynamic simulation for each H7N9–drug complex and calculated the binding energy for each candidate drug.\nResults: We found five inhibitors that could be candidate drugs for treating the mutated H7N9 virus. Docking poses showed these drugs could bind to the virus effectively, with the contribution of hydrogen bonds and hydrophobic interactions. With regard to the molecular dynamic simulations, receptor–ligand complexes formed by these candidate drugs were more stable than the one formed by oseltamivir carboxylate. The binding energy of oseltamivir carboxylate was –122.4 kJ/mol, while those for these potential inhibitors were –417.5, –404.7, –372.2, –304.3, and –289.9 kJ/mol, much better than the reference drug.\nConclusion: Given the current and future threat of the mutated H7N9 virus, it is urgent that potent drugs and effective antiviral therapeutics be found. Our study therefore is able tocomplement cu…","author":[{"dropping-particle":"","family":"He","given":"Jiao Yu","non-dropping-particle":"","parse-names":false,"suffix":""},{"dropping-particle":"","family":"Li","given":"Cheng","non-dropping-particle":"","parse-names":false,"suffix":""},{"dropping-particle":"","family":"Wu","given":"Guo","non-dropping-particle":"","parse-names":false,"suffix":""}],"container-title":"Drug Design, Development and Therapy","id":"ITEM-1","issued":{"date-parts":[["2014"]]},"page":"2377-2390","title":"Discovery of potential drugs for human-infecting H7N9 virus containing R294K mutation","type":"article-journal","volume":"8"},"uris":["http://www.mendeley.com/documents/?uuid=edb0b9cd-7a9e-44ea-8991-81144d918ce7","http://www.mendeley.com/documents/?uuid=b1f32b8e-3cd9-45d3-965d-03b09550b7c8"]}],"mendeley":{"formattedCitation":"[1]","plainTextFormattedCitation":"[1]","previouslyFormattedCitation":"[1]"},"properties":{"noteIndex":0},"schema":"https://github.com/citation-style-language/schema/raw/master/csl-citation.json"}</w:instrText>
      </w:r>
      <w:r w:rsidR="00F92BC6" w:rsidRPr="00925C57">
        <w:fldChar w:fldCharType="separate"/>
      </w:r>
      <w:r w:rsidR="00347A50" w:rsidRPr="00925C57">
        <w:t>[1]</w:t>
      </w:r>
      <w:r w:rsidR="00F92BC6" w:rsidRPr="00925C57">
        <w:fldChar w:fldCharType="end"/>
      </w:r>
      <w:r w:rsidR="00C807A8" w:rsidRPr="00925C57">
        <w:t>,</w:t>
      </w:r>
      <w:r w:rsidRPr="00925C57">
        <w:t xml:space="preserve"> where they show stronger binding of</w:t>
      </w:r>
      <w:r w:rsidR="0007329D" w:rsidRPr="00925C57">
        <w:t xml:space="preserve"> L-</w:t>
      </w:r>
      <w:r w:rsidR="002E27D7" w:rsidRPr="00925C57">
        <w:t>Arginine, Aspartame, D-Arginine and</w:t>
      </w:r>
      <w:r w:rsidR="0007329D" w:rsidRPr="00925C57">
        <w:t xml:space="preserve"> Benserazide hy</w:t>
      </w:r>
      <w:r w:rsidRPr="00925C57">
        <w:t>drochloride</w:t>
      </w:r>
      <w:r w:rsidR="0007329D" w:rsidRPr="00925C57">
        <w:t xml:space="preserve"> to</w:t>
      </w:r>
      <w:r w:rsidRPr="00925C57">
        <w:t>wards</w:t>
      </w:r>
      <w:r w:rsidR="0007329D" w:rsidRPr="00925C57">
        <w:t xml:space="preserve"> the active site of mutate</w:t>
      </w:r>
      <w:r w:rsidR="00450E7E" w:rsidRPr="00925C57">
        <w:t>d N9 neuraminidase compared to O</w:t>
      </w:r>
      <w:r w:rsidR="0007329D" w:rsidRPr="00925C57">
        <w:t>seltamivir carboxylate.</w:t>
      </w:r>
    </w:p>
    <w:p w14:paraId="6B19D043" w14:textId="70598357" w:rsidR="0007329D" w:rsidRPr="00925C57" w:rsidRDefault="00F471CC" w:rsidP="00FE407B">
      <w:pPr>
        <w:pStyle w:val="MDPI31text"/>
      </w:pPr>
      <w:r w:rsidRPr="00925C57">
        <w:t>According to the data</w:t>
      </w:r>
      <w:r w:rsidR="0007329D" w:rsidRPr="00925C57">
        <w:t xml:space="preserve"> provided by Wu et al.</w:t>
      </w:r>
      <w:r w:rsidR="00C807A8" w:rsidRPr="00925C57">
        <w:t xml:space="preserve"> </w:t>
      </w:r>
      <w:r w:rsidR="00F92BC6" w:rsidRPr="00925C57">
        <w:fldChar w:fldCharType="begin" w:fldLock="1"/>
      </w:r>
      <w:r w:rsidR="00347A50" w:rsidRPr="00925C57">
        <w:instrText>ADDIN CSL_CITATION {"citationItems":[{"id":"ITEM-1","itemData":{"DOI":"10.1038/cr.2013.144","ISSN":"10010602","PMID":"24165891","abstract":"An epidemic of an avian-origin H7N9 influenza virus has recently emerged in China, infecting 134 patients of which 45 have died. This is the first time that an influenza virus harboring an N9 serotype neuraminidase (NA) has been known to infect humans. H7N9 viruses are divergent and at least two distinct NAs and hemagglutinins (HAs) have been found, respectively, from clinical isolates. The prototypes of these viruses are A/Anhui/1/2013 and A/Shanghai/1/2013. NAs from these two viruses are distinct as the A/Shanghai/1/2013 NA has an R294K substitution that can confer NA inhibitor oseltamivir resistance. Oseltamivir is by far the most commonly used anti-influenza drug due to its potency and high bioavailability. In this study, we show that an R294K substitution results in multidrug resistance with extreme oseltamivir resistance (over 100 000-fold) using protein- and virus-based assays. To determine the molecular basis for the inhibitor resistance, we solved high-resolution crystal structures of NAs from A/Anhui/1/2013 N9 (R294-containing) and A/Shanghai/1/2013 N9 (K294-containing). R294K substitution results in an unfavorable E276 conformation for oseltamivir binding, and consequently loss of inhibitor carboxylate interactions, which compromises the binding of all classical NA ligands/inhibitors. Moreover, we found that R294K substitution results in reduced NA catalytic efficiency along with lower viral fitness. This helps to explain why K294 has predominantly been found in clinical cases of H7N9 infection under the selective pressure of oseltamivir treatment and not in the dominant human-infecting viruses. This implies that oseltamivir can still be efficiently used in the treatment of H7N9 infections. © 2013 IBCB, SIBS, CAS All rights reserved.","author":[{"dropping-particle":"","family":"Wu","given":"Yan","non-dropping-particle":"","parse-names":false,"suffix":""},{"dropping-particle":"","family":"Bi","given":"Yuhai","non-dropping-particle":"","parse-names":false,"suffix":""},{"dropping-particle":"","family":"Vavricka","given":"Christopher J.","non-dropping-particle":"","parse-names":false,"suffix":""},{"dropping-particle":"","family":"Sun","given":"Xiaoman","non-dropping-particle":"","parse-names":false,"suffix":""},{"dropping-particle":"","family":"Zhang","given":"Yanfang","non-dropping-particle":"","parse-names":false,"suffix":""},{"dropping-particle":"","family":"Gao","given":"Feng","non-dropping-particle":"","parse-names":false,"suffix":""},{"dropping-particle":"","family":"Zhao","given":"Min","non-dropping-particle":"","parse-names":false,"suffix":""},{"dropping-particle":"","family":"Xiao","given":"Haixia","non-dropping-particle":"","parse-names":false,"suffix":""},{"dropping-particle":"","family":"Qin","given":"Chengfeng","non-dropping-particle":"","parse-names":false,"suffix":""},{"dropping-particle":"","family":"He","given":"Jianhua","non-dropping-particle":"","parse-names":false,"suffix":""},{"dropping-particle":"","family":"Liu","given":"Wenjun","non-dropping-particle":"","parse-names":false,"suffix":""},{"dropping-particle":"","family":"Yan","given":"Jinghua","non-dropping-particle":"","parse-names":false,"suffix":""},{"dropping-particle":"","family":"Qi","given":"Jianxun","non-dropping-particle":"","parse-names":false,"suffix":""},{"dropping-particle":"","family":"Gao","given":"George F.","non-dropping-particle":"","parse-names":false,"suffix":""}],"container-title":"Cell Research","id":"ITEM-1","issue":"12","issued":{"date-parts":[["2013"]]},"page":"1347-1355","title":"Characterization of two distinct neuraminidases from avian-origin human-infecting H7N9 influenza viruses","type":"article-journal","volume":"23"},"uris":["http://www.mendeley.com/documents/?uuid=c37c6db6-52fb-41d2-a19c-f0cb0f522b67","http://www.mendeley.com/documents/?uuid=d25534af-3051-4689-820a-1c2fc1725081"]}],"mendeley":{"formattedCitation":"[12]","plainTextFormattedCitation":"[12]","previouslyFormattedCitation":"[12]"},"properties":{"noteIndex":0},"schema":"https://github.com/citation-style-language/schema/raw/master/csl-citation.json"}</w:instrText>
      </w:r>
      <w:r w:rsidR="00F92BC6" w:rsidRPr="00925C57">
        <w:fldChar w:fldCharType="separate"/>
      </w:r>
      <w:r w:rsidR="00347A50" w:rsidRPr="00925C57">
        <w:t>[12]</w:t>
      </w:r>
      <w:r w:rsidR="00F92BC6" w:rsidRPr="00925C57">
        <w:fldChar w:fldCharType="end"/>
      </w:r>
      <w:r w:rsidR="00C807A8" w:rsidRPr="00925C57">
        <w:t>,</w:t>
      </w:r>
      <w:r w:rsidR="0007329D" w:rsidRPr="00925C57">
        <w:t xml:space="preserve"> the three arginines at positions 372,</w:t>
      </w:r>
      <w:r w:rsidR="00AF0284" w:rsidRPr="00925C57">
        <w:t xml:space="preserve"> 119 and 294 </w:t>
      </w:r>
      <w:r w:rsidRPr="00925C57">
        <w:t xml:space="preserve">in the catalytic site of N9 enzyme </w:t>
      </w:r>
      <w:r w:rsidR="00AF0284" w:rsidRPr="00925C57">
        <w:t>are playing a key</w:t>
      </w:r>
      <w:r w:rsidR="0007329D" w:rsidRPr="00925C57">
        <w:t xml:space="preserve"> role in </w:t>
      </w:r>
      <w:r w:rsidR="002E27D7" w:rsidRPr="00925C57">
        <w:t xml:space="preserve">the </w:t>
      </w:r>
      <w:r w:rsidR="0007329D" w:rsidRPr="00925C57">
        <w:t xml:space="preserve">glycosidic </w:t>
      </w:r>
      <w:r w:rsidR="00AF0284" w:rsidRPr="00925C57">
        <w:t xml:space="preserve">bond cleavage between the </w:t>
      </w:r>
      <w:r w:rsidRPr="00925C57">
        <w:t>newly formed</w:t>
      </w:r>
      <w:r w:rsidR="0007329D" w:rsidRPr="00925C57">
        <w:t xml:space="preserve"> vir</w:t>
      </w:r>
      <w:r w:rsidRPr="00925C57">
        <w:t>us and the host cell. For this reason,</w:t>
      </w:r>
      <w:r w:rsidR="0007329D" w:rsidRPr="00925C57">
        <w:t xml:space="preserve"> we focused our attention on these </w:t>
      </w:r>
      <w:r w:rsidRPr="00925C57">
        <w:t xml:space="preserve">three </w:t>
      </w:r>
      <w:r w:rsidR="0007329D" w:rsidRPr="00925C57">
        <w:t>partic</w:t>
      </w:r>
      <w:r w:rsidR="00DB10D2" w:rsidRPr="00925C57">
        <w:t>ular arginines</w:t>
      </w:r>
      <w:r w:rsidRPr="00925C57">
        <w:t xml:space="preserve">. The evidence of </w:t>
      </w:r>
      <w:r w:rsidR="0007329D" w:rsidRPr="00925C57">
        <w:t>mutation in one of the</w:t>
      </w:r>
      <w:r w:rsidRPr="00925C57">
        <w:t>se key residues, in particular R294K, already exists</w:t>
      </w:r>
      <w:r w:rsidR="002D6025" w:rsidRPr="00925C57">
        <w:t xml:space="preserve"> </w:t>
      </w:r>
      <w:r w:rsidR="006916A5" w:rsidRPr="00925C57">
        <w:fldChar w:fldCharType="begin" w:fldLock="1"/>
      </w:r>
      <w:r w:rsidR="002D6025" w:rsidRPr="00925C57">
        <w:instrText>ADDIN CSL_CITATION {"citationItems":[{"id":"ITEM-1","itemData":{"DOI":"10.2147/DDDT.S74061","ISSN":"11778881","PMID":"25489236","abstract":"Background: After the first epidemic wave from February through May 2013, the influenza A (H7N9) virus emerged and has followed a second epidemic wave since June 2013. As of June 27, 2014, the outbreak of H7N9 had caused 450 confirmed cases of human infection, with 165 deaths included. The case-fatality rate of all confirmed cases is about 36%, making the H7N9 virus a significant threat to people's health. At present, neuraminidase inhibitors are the only licensed antiviral medications available to treat H7N9 infections in humans. Oseltamivir is the most commonly used inhibitor, and it is also a front-line drug for the threatening H7N9. Unfortunately, it has been reported that patients treated with oseltamivir can induce R294K (Arg294Lys) substitution in the H7N9 virus, which is a rare mutation and can reduce the antiviral efficacy of inhibitors. Even worse, deaths caused by such mutation after oseltamivir treatment have already been reported, indicating that the need to find substitutive neuraminidase inhibitors for currently available drugs to treat drug-resistant H7N9 is really pressing.\nMaterials and methods: First, the structure of H7N9 containing the R294K substitution was downloaded from the Protein Data Bank, and structural information of approved drugs was downloaded from the ZINC (ZINC Is Not Commercial) database. Taking oseltamivir carboxylate as a reference drug, we then filtered these molecules through virtual screening to find out potential inhibitors targeting the mutated H7N9 virus. For further evaluation, we carried out a 14 ns molecular dynamic simulation for each H7N9–drug complex and calculated the binding energy for each candidate drug.\nResults: We found five inhibitors that could be candidate drugs for treating the mutated H7N9 virus. Docking poses showed these drugs could bind to the virus effectively, with the contribution of hydrogen bonds and hydrophobic interactions. With regard to the molecular dynamic simulations, receptor–ligand complexes formed by these candidate drugs were more stable than the one formed by oseltamivir carboxylate. The binding energy of oseltamivir carboxylate was –122.4 kJ/mol, while those for these potential inhibitors were –417.5, –404.7, –372.2, –304.3, and –289.9 kJ/mol, much better than the reference drug.\nConclusion: Given the current and future threat of the mutated H7N9 virus, it is urgent that potent drugs and effective antiviral therapeutics be found. Our study therefore is able tocomplement cu…","author":[{"dropping-particle":"","family":"He","given":"Jiao Yu","non-dropping-particle":"","parse-names":false,"suffix":""},{"dropping-particle":"","family":"Li","given":"Cheng","non-dropping-particle":"","parse-names":false,"suffix":""},{"dropping-particle":"","family":"Wu","given":"Guo","non-dropping-particle":"","parse-names":false,"suffix":""}],"container-title":"Drug Design, Development and Therapy","id":"ITEM-1","issued":{"date-parts":[["2014"]]},"page":"2377-2390","title":"Discovery of potential drugs for human-infecting H7N9 virus containing R294K mutation","type":"article-journal","volume":"8"},"uris":["http://www.mendeley.com/documents/?uuid=edb0b9cd-7a9e-44ea-8991-81144d918ce7","http://www.mendeley.com/documents/?uuid=b1f32b8e-3cd9-45d3-965d-03b09550b7c8"]}],"mendeley":{"formattedCitation":"[1]","manualFormatting":"[1","plainTextFormattedCitation":"[1]","previouslyFormattedCitation":"[1]"},"properties":{"noteIndex":0},"schema":"https://github.com/citation-style-language/schema/raw/master/csl-citation.json"}</w:instrText>
      </w:r>
      <w:r w:rsidR="006916A5" w:rsidRPr="00925C57">
        <w:fldChar w:fldCharType="separate"/>
      </w:r>
      <w:r w:rsidR="00347A50" w:rsidRPr="00925C57">
        <w:t>[1</w:t>
      </w:r>
      <w:r w:rsidR="006916A5" w:rsidRPr="00925C57">
        <w:fldChar w:fldCharType="end"/>
      </w:r>
      <w:r w:rsidR="002D6025" w:rsidRPr="00925C57">
        <w:t>,</w:t>
      </w:r>
      <w:r w:rsidR="006916A5" w:rsidRPr="00925C57">
        <w:fldChar w:fldCharType="begin" w:fldLock="1"/>
      </w:r>
      <w:r w:rsidR="002D6025" w:rsidRPr="00925C57">
        <w:instrText>ADDIN CSL_CITATION {"citationItems":[{"id":"ITEM-1","itemData":{"DOI":"10.1038/cr.2013.144","ISSN":"10010602","PMID":"24165891","abstract":"An epidemic of an avian-origin H7N9 influenza virus has recently emerged in China, infecting 134 patients of which 45 have died. This is the first time that an influenza virus harboring an N9 serotype neuraminidase (NA) has been known to infect humans. H7N9 viruses are divergent and at least two distinct NAs and hemagglutinins (HAs) have been found, respectively, from clinical isolates. The prototypes of these viruses are A/Anhui/1/2013 and A/Shanghai/1/2013. NAs from these two viruses are distinct as the A/Shanghai/1/2013 NA has an R294K substitution that can confer NA inhibitor oseltamivir resistance. Oseltamivir is by far the most commonly used anti-influenza drug due to its potency and high bioavailability. In this study, we show that an R294K substitution results in multidrug resistance with extreme oseltamivir resistance (over 100 000-fold) using protein- and virus-based assays. To determine the molecular basis for the inhibitor resistance, we solved high-resolution crystal structures of NAs from A/Anhui/1/2013 N9 (R294-containing) and A/Shanghai/1/2013 N9 (K294-containing). R294K substitution results in an unfavorable E276 conformation for oseltamivir binding, and consequently loss of inhibitor carboxylate interactions, which compromises the binding of all classical NA ligands/inhibitors. Moreover, we found that R294K substitution results in reduced NA catalytic efficiency along with lower viral fitness. This helps to explain why K294 has predominantly been found in clinical cases of H7N9 infection under the selective pressure of oseltamivir treatment and not in the dominant human-infecting viruses. This implies that oseltamivir can still be efficiently used in the treatment of H7N9 infections. © 2013 IBCB, SIBS, CAS All rights reserved.","author":[{"dropping-particle":"","family":"Wu","given":"Yan","non-dropping-particle":"","parse-names":false,"suffix":""},{"dropping-particle":"","family":"Bi","given":"Yuhai","non-dropping-particle":"","parse-names":false,"suffix":""},{"dropping-particle":"","family":"Vavricka","given":"Christopher J.","non-dropping-particle":"","parse-names":false,"suffix":""},{"dropping-particle":"","family":"Sun","given":"Xiaoman","non-dropping-particle":"","parse-names":false,"suffix":""},{"dropping-particle":"","family":"Zhang","given":"Yanfang","non-dropping-particle":"","parse-names":false,"suffix":""},{"dropping-particle":"","family":"Gao","given":"Feng","non-dropping-particle":"","parse-names":false,"suffix":""},{"dropping-particle":"","family":"Zhao","given":"Min","non-dropping-particle":"","parse-names":false,"suffix":""},{"dropping-particle":"","family":"Xiao","given":"Haixia","non-dropping-particle":"","parse-names":false,"suffix":""},{"dropping-particle":"","family":"Qin","given":"Chengfeng","non-dropping-particle":"","parse-names":false,"suffix":""},{"dropping-particle":"","family":"He","given":"Jianhua","non-dropping-particle":"","parse-names":false,"suffix":""},{"dropping-particle":"","family":"Liu","given":"Wenjun","non-dropping-particle":"","parse-names":false,"suffix":""},{"dropping-particle":"","family":"Yan","given":"Jinghua","non-dropping-particle":"","parse-names":false,"suffix":""},{"dropping-particle":"","family":"Qi","given":"Jianxun","non-dropping-particle":"","parse-names":false,"suffix":""},{"dropping-particle":"","family":"Gao","given":"George F.","non-dropping-particle":"","parse-names":false,"suffix":""}],"container-title":"Cell Research","id":"ITEM-1","issue":"12","issued":{"date-parts":[["2013"]]},"page":"1347-1355","title":"Characterization of two distinct neuraminidases from avian-origin human-infecting H7N9 influenza viruses","type":"article-journal","volume":"23"},"uris":["http://www.mendeley.com/documents/?uuid=c37c6db6-52fb-41d2-a19c-f0cb0f522b67","http://www.mendeley.com/documents/?uuid=d25534af-3051-4689-820a-1c2fc1725081"]}],"mendeley":{"formattedCitation":"[12]","manualFormatting":"12]","plainTextFormattedCitation":"[12]","previouslyFormattedCitation":"[12]"},"properties":{"noteIndex":0},"schema":"https://github.com/citation-style-language/schema/raw/master/csl-citation.json"}</w:instrText>
      </w:r>
      <w:r w:rsidR="006916A5" w:rsidRPr="00925C57">
        <w:fldChar w:fldCharType="separate"/>
      </w:r>
      <w:r w:rsidR="00347A50" w:rsidRPr="00925C57">
        <w:t>12]</w:t>
      </w:r>
      <w:r w:rsidR="006916A5" w:rsidRPr="00925C57">
        <w:fldChar w:fldCharType="end"/>
      </w:r>
      <w:r w:rsidR="002D6025" w:rsidRPr="00925C57">
        <w:t>.</w:t>
      </w:r>
      <w:r w:rsidR="00CB5C15" w:rsidRPr="00925C57">
        <w:t xml:space="preserve"> Our </w:t>
      </w:r>
      <w:r w:rsidR="00FD69B4" w:rsidRPr="00925C57">
        <w:t>assumptions concerning the next possible mutations refer</w:t>
      </w:r>
      <w:r w:rsidR="00DB10D2" w:rsidRPr="00925C57">
        <w:t xml:space="preserve"> to the other two </w:t>
      </w:r>
      <w:r w:rsidR="002E27D7" w:rsidRPr="00925C57">
        <w:t>arginine</w:t>
      </w:r>
      <w:r w:rsidR="004B323C" w:rsidRPr="00925C57">
        <w:t>s</w:t>
      </w:r>
      <w:r w:rsidR="00BE40D4" w:rsidRPr="00925C57">
        <w:t xml:space="preserve"> at positions 119 and 372, in particular</w:t>
      </w:r>
      <w:r w:rsidR="00E44730" w:rsidRPr="00925C57">
        <w:t>,</w:t>
      </w:r>
      <w:r w:rsidR="00BE40D4" w:rsidRPr="00925C57">
        <w:t xml:space="preserve"> their single, double </w:t>
      </w:r>
      <w:r w:rsidR="0046432A" w:rsidRPr="00925C57">
        <w:t>and triple mutations to lysine</w:t>
      </w:r>
      <w:r w:rsidR="00BE40D4" w:rsidRPr="00925C57">
        <w:t>.</w:t>
      </w:r>
      <w:r w:rsidR="00DB10D2" w:rsidRPr="00925C57">
        <w:t xml:space="preserve"> According </w:t>
      </w:r>
      <w:r w:rsidR="00BE40D4" w:rsidRPr="00925C57">
        <w:t>to the Blos</w:t>
      </w:r>
      <w:r w:rsidR="00DB10D2" w:rsidRPr="00925C57">
        <w:t>um</w:t>
      </w:r>
      <w:r w:rsidR="007934B1" w:rsidRPr="00925C57">
        <w:t xml:space="preserve"> default</w:t>
      </w:r>
      <w:r w:rsidR="00DB10D2" w:rsidRPr="00925C57">
        <w:t xml:space="preserve"> matrix</w:t>
      </w:r>
      <w:r w:rsidR="007934B1" w:rsidRPr="00925C57">
        <w:t xml:space="preserve"> Blosum62</w:t>
      </w:r>
      <w:r w:rsidR="00BE48C4" w:rsidRPr="00925C57">
        <w:t xml:space="preserve"> </w:t>
      </w:r>
      <w:r w:rsidR="00735299" w:rsidRPr="00925C57">
        <w:fldChar w:fldCharType="begin" w:fldLock="1"/>
      </w:r>
      <w:r w:rsidR="00347A50" w:rsidRPr="00925C57">
        <w:instrText>ADDIN CSL_CITATION {"citationItems":[{"id":"ITEM-1","itemData":{"DOI":"10.1073/pnas.89.22.10915","ISSN":"00278424","PMID":"1438297","abstract":"Methods for alignment of protein sequences typically measure similarity by using a substitution matrix with scores for all possible exchanges of one amino acid with another. The most widely used matrices are based on the Dayhoff model of evolutionary rates. Using a different approach, we have derived substitution matrices from about 2000 blocks of aligned sequence segments characterizing more than 500 groups of related proteins. This led to marked improvements in alignments and in searches using queries from each of the groups.","author":[{"dropping-particle":"","family":"Henikoff","given":"S.","non-dropping-particle":"","parse-names":false,"suffix":""},{"dropping-particle":"","family":"Henikoff","given":"J. G.","non-dropping-particle":"","parse-names":false,"suffix":""}],"container-title":"Proceedings of the National Academy of Sciences of the United States of America","id":"ITEM-1","issue":"22","issued":{"date-parts":[["1992"]]},"page":"10915-10919","title":"Amino acid substitution matrices from protein blocks","type":"article-journal","volume":"89"},"uris":["http://www.mendeley.com/documents/?uuid=55c29f6f-1aa6-402a-98bb-bcd9dd69e24f","http://www.mendeley.com/documents/?uuid=bbc52916-7c16-4f39-b11e-0ead56456ffd"]}],"mendeley":{"formattedCitation":"[14]","plainTextFormattedCitation":"[14]","previouslyFormattedCitation":"[14]"},"properties":{"noteIndex":0},"schema":"https://github.com/citation-style-language/schema/raw/master/csl-citation.json"}</w:instrText>
      </w:r>
      <w:r w:rsidR="00735299" w:rsidRPr="00925C57">
        <w:fldChar w:fldCharType="separate"/>
      </w:r>
      <w:r w:rsidR="00347A50" w:rsidRPr="00925C57">
        <w:t>[14]</w:t>
      </w:r>
      <w:r w:rsidR="00735299" w:rsidRPr="00925C57">
        <w:fldChar w:fldCharType="end"/>
      </w:r>
      <w:r w:rsidR="00735299" w:rsidRPr="00925C57">
        <w:t xml:space="preserve"> </w:t>
      </w:r>
      <w:r w:rsidR="00FA76CB" w:rsidRPr="00925C57">
        <w:t>substitution of arginine to lysine</w:t>
      </w:r>
      <w:r w:rsidR="00BE40D4" w:rsidRPr="00925C57">
        <w:t xml:space="preserve"> is highly </w:t>
      </w:r>
      <w:r w:rsidR="00FA76CB" w:rsidRPr="00925C57">
        <w:t>favorable</w:t>
      </w:r>
      <w:r w:rsidR="00BE40D4" w:rsidRPr="00925C57">
        <w:t>.</w:t>
      </w:r>
      <w:r w:rsidR="0007329D" w:rsidRPr="00925C57">
        <w:t xml:space="preserve"> T</w:t>
      </w:r>
      <w:r w:rsidR="008E2CF1" w:rsidRPr="00925C57">
        <w:t>herefore, to prevent the epidemic</w:t>
      </w:r>
      <w:r w:rsidR="0007329D" w:rsidRPr="00925C57">
        <w:t xml:space="preserve"> of the virus with such</w:t>
      </w:r>
      <w:r w:rsidR="008E2CF1" w:rsidRPr="00925C57">
        <w:t xml:space="preserve"> kind of mutations and avoid</w:t>
      </w:r>
      <w:r w:rsidR="0007329D" w:rsidRPr="00925C57">
        <w:t xml:space="preserve"> </w:t>
      </w:r>
      <w:r w:rsidR="00BE40D4" w:rsidRPr="00925C57">
        <w:t xml:space="preserve">an anticipated </w:t>
      </w:r>
      <w:r w:rsidR="0007329D" w:rsidRPr="00925C57">
        <w:t>drug resist</w:t>
      </w:r>
      <w:r w:rsidR="0046432A" w:rsidRPr="00925C57">
        <w:t>ance in advance, in the current</w:t>
      </w:r>
      <w:r w:rsidR="0007329D" w:rsidRPr="00925C57">
        <w:t xml:space="preserve"> research work</w:t>
      </w:r>
      <w:r w:rsidR="00277470" w:rsidRPr="00925C57">
        <w:t>, beside</w:t>
      </w:r>
      <w:r w:rsidR="002E27D7" w:rsidRPr="00925C57">
        <w:t>s</w:t>
      </w:r>
      <w:r w:rsidR="00277470" w:rsidRPr="00925C57">
        <w:t xml:space="preserve"> the wild type and R294K mutation, </w:t>
      </w:r>
      <w:r w:rsidR="0007329D" w:rsidRPr="00925C57">
        <w:t>we</w:t>
      </w:r>
      <w:r w:rsidR="00BE40D4" w:rsidRPr="00925C57">
        <w:t xml:space="preserve"> </w:t>
      </w:r>
      <w:r w:rsidR="00277470" w:rsidRPr="00925C57">
        <w:t xml:space="preserve">also </w:t>
      </w:r>
      <w:r w:rsidR="00BE40D4" w:rsidRPr="00925C57">
        <w:t>focus</w:t>
      </w:r>
      <w:r w:rsidR="0046432A" w:rsidRPr="00925C57">
        <w:t>ed</w:t>
      </w:r>
      <w:r w:rsidR="00BE40D4" w:rsidRPr="00925C57">
        <w:t xml:space="preserve"> </w:t>
      </w:r>
      <w:r w:rsidR="00D27909" w:rsidRPr="00925C57">
        <w:t xml:space="preserve">our attention </w:t>
      </w:r>
      <w:r w:rsidR="00BE40D4" w:rsidRPr="00925C57">
        <w:t xml:space="preserve">on </w:t>
      </w:r>
      <w:r w:rsidR="00D27909" w:rsidRPr="00925C57">
        <w:t xml:space="preserve">possible </w:t>
      </w:r>
      <w:r w:rsidR="00277470" w:rsidRPr="00925C57">
        <w:t>R119K, R372K, R119_294K, R119_372K, R372_294K and R119_294_372K</w:t>
      </w:r>
      <w:r w:rsidR="00FA76CB" w:rsidRPr="00925C57">
        <w:t xml:space="preserve"> mutations in N9</w:t>
      </w:r>
      <w:r w:rsidR="00D27909" w:rsidRPr="00925C57">
        <w:t xml:space="preserve"> subtype of NA</w:t>
      </w:r>
      <w:r w:rsidR="00277470" w:rsidRPr="00925C57">
        <w:t>.</w:t>
      </w:r>
      <w:r w:rsidR="0046432A" w:rsidRPr="00925C57">
        <w:t xml:space="preserve"> </w:t>
      </w:r>
      <w:r w:rsidR="009D7401" w:rsidRPr="00925C57">
        <w:t>In ord</w:t>
      </w:r>
      <w:r w:rsidR="00D27909" w:rsidRPr="00925C57">
        <w:t>er to evaluate the best</w:t>
      </w:r>
      <w:r w:rsidR="009D7401" w:rsidRPr="00925C57">
        <w:t xml:space="preserve"> drug candidate, </w:t>
      </w:r>
      <w:r w:rsidR="00061821" w:rsidRPr="00925C57">
        <w:t>we</w:t>
      </w:r>
      <w:r w:rsidR="0046432A" w:rsidRPr="00925C57">
        <w:t xml:space="preserve"> </w:t>
      </w:r>
      <w:r w:rsidR="0007329D" w:rsidRPr="00925C57">
        <w:t xml:space="preserve">tested against </w:t>
      </w:r>
      <w:r w:rsidR="00277470" w:rsidRPr="00925C57">
        <w:t xml:space="preserve">N9 </w:t>
      </w:r>
      <w:r w:rsidR="00061821" w:rsidRPr="00925C57">
        <w:t>with such mutations</w:t>
      </w:r>
      <w:r w:rsidR="0007329D" w:rsidRPr="00925C57">
        <w:t xml:space="preserve"> the existing drugs, known for th</w:t>
      </w:r>
      <w:r w:rsidR="00061821" w:rsidRPr="00925C57">
        <w:t>e</w:t>
      </w:r>
      <w:r w:rsidR="009D7401" w:rsidRPr="00925C57">
        <w:t>ir</w:t>
      </w:r>
      <w:r w:rsidR="00D27909" w:rsidRPr="00925C57">
        <w:t xml:space="preserve"> strong anti-influenza properties</w:t>
      </w:r>
      <w:r w:rsidR="00061821" w:rsidRPr="00925C57">
        <w:t xml:space="preserve"> (Oseltamivir, Zanamivir, Peramivir, L</w:t>
      </w:r>
      <w:r w:rsidR="0007329D" w:rsidRPr="00925C57">
        <w:t>aninamivir, L-Arginine, Benserazide hydrochlorid</w:t>
      </w:r>
      <w:r w:rsidR="006916A5" w:rsidRPr="00925C57">
        <w:t>e</w:t>
      </w:r>
      <w:r w:rsidR="00061821" w:rsidRPr="00925C57">
        <w:rPr>
          <w:b/>
        </w:rPr>
        <w:t>)</w:t>
      </w:r>
      <w:r w:rsidR="00BE48C4" w:rsidRPr="00925C57">
        <w:rPr>
          <w:b/>
        </w:rPr>
        <w:t xml:space="preserve"> </w:t>
      </w:r>
      <w:r w:rsidR="009C14EF" w:rsidRPr="00925C57">
        <w:rPr>
          <w:b/>
        </w:rPr>
        <w:fldChar w:fldCharType="begin" w:fldLock="1"/>
      </w:r>
      <w:r w:rsidR="00BE48C4" w:rsidRPr="00925C57">
        <w:rPr>
          <w:b/>
        </w:rPr>
        <w:instrText>ADDIN CSL_CITATION {"citationItems":[{"id":"ITEM-1","itemData":{"DOI":"10.2147/DDDT.S74061","ISSN":"11778881","PMID":"25489236","abstract":"Background: After the first epidemic wave from February through May 2013, the influenza A (H7N9) virus emerged and has followed a second epidemic wave since June 2013. As of June 27, 2014, the outbreak of H7N9 had caused 450 confirmed cases of human infection, with 165 deaths included. The case-fatality rate of all confirmed cases is about 36%, making the H7N9 virus a significant threat to people's health. At present, neuraminidase inhibitors are the only licensed antiviral medications available to treat H7N9 infections in humans. Oseltamivir is the most commonly used inhibitor, and it is also a front-line drug for the threatening H7N9. Unfortunately, it has been reported that patients treated with oseltamivir can induce R294K (Arg294Lys) substitution in the H7N9 virus, which is a rare mutation and can reduce the antiviral efficacy of inhibitors. Even worse, deaths caused by such mutation after oseltamivir treatment have already been reported, indicating that the need to find substitutive neuraminidase inhibitors for currently available drugs to treat drug-resistant H7N9 is really pressing.\nMaterials and methods: First, the structure of H7N9 containing the R294K substitution was downloaded from the Protein Data Bank, and structural information of approved drugs was downloaded from the ZINC (ZINC Is Not Commercial) database. Taking oseltamivir carboxylate as a reference drug, we then filtered these molecules through virtual screening to find out potential inhibitors targeting the mutated H7N9 virus. For further evaluation, we carried out a 14 ns molecular dynamic simulation for each H7N9–drug complex and calculated the binding energy for each candidate drug.\nResults: We found five inhibitors that could be candidate drugs for treating the mutated H7N9 virus. Docking poses showed these drugs could bind to the virus effectively, with the contribution of hydrogen bonds and hydrophobic interactions. With regard to the molecular dynamic simulations, receptor–ligand complexes formed by these candidate drugs were more stable than the one formed by oseltamivir carboxylate. The binding energy of oseltamivir carboxylate was –122.4 kJ/mol, while those for these potential inhibitors were –417.5, –404.7, –372.2, –304.3, and –289.9 kJ/mol, much better than the reference drug.\nConclusion: Given the current and future threat of the mutated H7N9 virus, it is urgent that potent drugs and effective antiviral therapeutics be found. Our study therefore is able tocomplement cu…","author":[{"dropping-particle":"","family":"He","given":"Jiao Yu","non-dropping-particle":"","parse-names":false,"suffix":""},{"dropping-particle":"","family":"Li","given":"Cheng","non-dropping-particle":"","parse-names":false,"suffix":""},{"dropping-particle":"","family":"Wu","given":"Guo","non-dropping-particle":"","parse-names":false,"suffix":""}],"container-title":"Drug Design, Development and Therapy","id":"ITEM-1","issued":{"date-parts":[["2014"]]},"page":"2377-2390","title":"Discovery of potential drugs for human-infecting H7N9 virus containing R294K mutation","type":"article-journal","volume":"8"},"uris":["http://www.mendeley.com/documents/?uuid=edb0b9cd-7a9e-44ea-8991-81144d918ce7","http://www.mendeley.com/documents/?uuid=b1f32b8e-3cd9-45d3-965d-03b09550b7c8"]}],"mendeley":{"formattedCitation":"[1]","manualFormatting":"[1","plainTextFormattedCitation":"[1]","previouslyFormattedCitation":"[1]"},"properties":{"noteIndex":0},"schema":"https://github.com/citation-style-language/schema/raw/master/csl-citation.json"}</w:instrText>
      </w:r>
      <w:r w:rsidR="009C14EF" w:rsidRPr="00925C57">
        <w:rPr>
          <w:b/>
        </w:rPr>
        <w:fldChar w:fldCharType="separate"/>
      </w:r>
      <w:r w:rsidR="00347A50" w:rsidRPr="00925C57">
        <w:t>[1</w:t>
      </w:r>
      <w:r w:rsidR="009C14EF" w:rsidRPr="00925C57">
        <w:rPr>
          <w:b/>
        </w:rPr>
        <w:fldChar w:fldCharType="end"/>
      </w:r>
      <w:r w:rsidR="00BE48C4" w:rsidRPr="00925C57">
        <w:rPr>
          <w:b/>
        </w:rPr>
        <w:t>,</w:t>
      </w:r>
      <w:r w:rsidR="009C14EF" w:rsidRPr="00925C57">
        <w:rPr>
          <w:b/>
        </w:rPr>
        <w:fldChar w:fldCharType="begin" w:fldLock="1"/>
      </w:r>
      <w:r w:rsidR="00BE48C4" w:rsidRPr="00925C57">
        <w:rPr>
          <w:b/>
        </w:rPr>
        <w:instrText>ADDIN CSL_CITATION {"citationItems":[{"id":"ITEM-1","itemData":{"DOI":"10.1038/cr.2013.144","ISSN":"10010602","PMID":"24165891","abstract":"An epidemic of an avian-origin H7N9 influenza virus has recently emerged in China, infecting 134 patients of which 45 have died. This is the first time that an influenza virus harboring an N9 serotype neuraminidase (NA) has been known to infect humans. H7N9 viruses are divergent and at least two distinct NAs and hemagglutinins (HAs) have been found, respectively, from clinical isolates. The prototypes of these viruses are A/Anhui/1/2013 and A/Shanghai/1/2013. NAs from these two viruses are distinct as the A/Shanghai/1/2013 NA has an R294K substitution that can confer NA inhibitor oseltamivir resistance. Oseltamivir is by far the most commonly used anti-influenza drug due to its potency and high bioavailability. In this study, we show that an R294K substitution results in multidrug resistance with extreme oseltamivir resistance (over 100 000-fold) using protein- and virus-based assays. To determine the molecular basis for the inhibitor resistance, we solved high-resolution crystal structures of NAs from A/Anhui/1/2013 N9 (R294-containing) and A/Shanghai/1/2013 N9 (K294-containing). R294K substitution results in an unfavorable E276 conformation for oseltamivir binding, and consequently loss of inhibitor carboxylate interactions, which compromises the binding of all classical NA ligands/inhibitors. Moreover, we found that R294K substitution results in reduced NA catalytic efficiency along with lower viral fitness. This helps to explain why K294 has predominantly been found in clinical cases of H7N9 infection under the selective pressure of oseltamivir treatment and not in the dominant human-infecting viruses. This implies that oseltamivir can still be efficiently used in the treatment of H7N9 infections. © 2013 IBCB, SIBS, CAS All rights reserved.","author":[{"dropping-particle":"","family":"Wu","given":"Yan","non-dropping-particle":"","parse-names":false,"suffix":""},{"dropping-particle":"","family":"Bi","given":"Yuhai","non-dropping-particle":"","parse-names":false,"suffix":""},{"dropping-particle":"","family":"Vavricka","given":"Christopher J.","non-dropping-particle":"","parse-names":false,"suffix":""},{"dropping-particle":"","family":"Sun","given":"Xiaoman","non-dropping-particle":"","parse-names":false,"suffix":""},{"dropping-particle":"","family":"Zhang","given":"Yanfang","non-dropping-particle":"","parse-names":false,"suffix":""},{"dropping-particle":"","family":"Gao","given":"Feng","non-dropping-particle":"","parse-names":false,"suffix":""},{"dropping-particle":"","family":"Zhao","given":"Min","non-dropping-particle":"","parse-names":false,"suffix":""},{"dropping-particle":"","family":"Xiao","given":"Haixia","non-dropping-particle":"","parse-names":false,"suffix":""},{"dropping-particle":"","family":"Qin","given":"Chengfeng","non-dropping-particle":"","parse-names":false,"suffix":""},{"dropping-particle":"","family":"He","given":"Jianhua","non-dropping-particle":"","parse-names":false,"suffix":""},{"dropping-particle":"","family":"Liu","given":"Wenjun","non-dropping-particle":"","parse-names":false,"suffix":""},{"dropping-particle":"","family":"Yan","given":"Jinghua","non-dropping-particle":"","parse-names":false,"suffix":""},{"dropping-particle":"","family":"Qi","given":"Jianxun","non-dropping-particle":"","parse-names":false,"suffix":""},{"dropping-particle":"","family":"Gao","given":"George F.","non-dropping-particle":"","parse-names":false,"suffix":""}],"container-title":"Cell Research","id":"ITEM-1","issue":"12","issued":{"date-parts":[["2013"]]},"page":"1347-1355","title":"Characterization of two distinct neuraminidases from avian-origin human-infecting H7N9 influenza viruses","type":"article-journal","volume":"23"},"uris":["http://www.mendeley.com/documents/?uuid=c37c6db6-52fb-41d2-a19c-f0cb0f522b67","http://www.mendeley.com/documents/?uuid=d25534af-3051-4689-820a-1c2fc1725081"]}],"mendeley":{"formattedCitation":"[12]","manualFormatting":"12]","plainTextFormattedCitation":"[12]","previouslyFormattedCitation":"[12]"},"properties":{"noteIndex":0},"schema":"https://github.com/citation-style-language/schema/raw/master/csl-citation.json"}</w:instrText>
      </w:r>
      <w:r w:rsidR="009C14EF" w:rsidRPr="00925C57">
        <w:rPr>
          <w:b/>
        </w:rPr>
        <w:fldChar w:fldCharType="separate"/>
      </w:r>
      <w:r w:rsidR="00347A50" w:rsidRPr="00925C57">
        <w:t>12]</w:t>
      </w:r>
      <w:r w:rsidR="009C14EF" w:rsidRPr="00925C57">
        <w:rPr>
          <w:b/>
        </w:rPr>
        <w:fldChar w:fldCharType="end"/>
      </w:r>
      <w:r w:rsidR="009D7401" w:rsidRPr="00925C57">
        <w:rPr>
          <w:b/>
        </w:rPr>
        <w:t xml:space="preserve"> </w:t>
      </w:r>
      <w:r w:rsidR="009D7401" w:rsidRPr="00925C57">
        <w:t>using differ</w:t>
      </w:r>
      <w:r w:rsidR="00735299" w:rsidRPr="00925C57">
        <w:t>ent molecular docking algorithms</w:t>
      </w:r>
      <w:r w:rsidR="00061821" w:rsidRPr="00925C57">
        <w:rPr>
          <w:b/>
        </w:rPr>
        <w:t>.</w:t>
      </w:r>
    </w:p>
    <w:p w14:paraId="7700C4BC" w14:textId="75632B8B" w:rsidR="0007329D" w:rsidRPr="00925C57" w:rsidRDefault="0079274B" w:rsidP="00FE407B">
      <w:pPr>
        <w:pStyle w:val="MDPI21heading1"/>
      </w:pPr>
      <w:r w:rsidRPr="00925C57">
        <w:t xml:space="preserve">2. </w:t>
      </w:r>
      <w:r w:rsidR="0007329D" w:rsidRPr="00925C57">
        <w:t>Results</w:t>
      </w:r>
    </w:p>
    <w:p w14:paraId="5F4025C6" w14:textId="027234B4" w:rsidR="00FF0DC1" w:rsidRPr="00925C57" w:rsidRDefault="0079274B" w:rsidP="00FE407B">
      <w:pPr>
        <w:pStyle w:val="MDPI22heading2"/>
      </w:pPr>
      <w:r w:rsidRPr="00925C57">
        <w:t xml:space="preserve">2.1. </w:t>
      </w:r>
      <w:r w:rsidR="00C31AE1" w:rsidRPr="00925C57">
        <w:t>Validation of Docking</w:t>
      </w:r>
    </w:p>
    <w:p w14:paraId="5BC7A76E" w14:textId="351098DE" w:rsidR="00FF0DC1" w:rsidRPr="00925C57" w:rsidRDefault="00F54BE5" w:rsidP="00FE407B">
      <w:pPr>
        <w:pStyle w:val="MDPI31text"/>
      </w:pPr>
      <w:r w:rsidRPr="00925C57">
        <w:t xml:space="preserve">Prior </w:t>
      </w:r>
      <w:r w:rsidR="00C160B9" w:rsidRPr="00925C57">
        <w:t xml:space="preserve">to </w:t>
      </w:r>
      <w:r w:rsidRPr="00925C57">
        <w:t>estimation of the best drug candidate against native as well as mutated NA</w:t>
      </w:r>
      <w:r w:rsidR="0061743E" w:rsidRPr="00925C57">
        <w:t>s</w:t>
      </w:r>
      <w:r w:rsidRPr="00925C57">
        <w:t xml:space="preserve"> we have validated the docking software. </w:t>
      </w:r>
      <w:r w:rsidR="00A63814" w:rsidRPr="00925C57">
        <w:t xml:space="preserve">Figure 1 shows the superposition of </w:t>
      </w:r>
      <w:r w:rsidR="00E3169E" w:rsidRPr="00925C57">
        <w:t>Oseltamivir carboxylate structures within</w:t>
      </w:r>
      <w:r w:rsidR="0061743E" w:rsidRPr="00925C57">
        <w:t xml:space="preserve"> the crystal</w:t>
      </w:r>
      <w:r w:rsidR="00E3169E" w:rsidRPr="00925C57">
        <w:t xml:space="preserve"> </w:t>
      </w:r>
      <w:r w:rsidR="00A63814" w:rsidRPr="00925C57">
        <w:t>struc</w:t>
      </w:r>
      <w:r w:rsidR="00E3169E" w:rsidRPr="00925C57">
        <w:t xml:space="preserve">ture </w:t>
      </w:r>
      <w:r w:rsidR="0061743E" w:rsidRPr="00925C57">
        <w:t>of NA</w:t>
      </w:r>
      <w:r w:rsidR="00AE7F20" w:rsidRPr="00925C57">
        <w:t xml:space="preserve"> (4MWQ)</w:t>
      </w:r>
      <w:r w:rsidR="0061743E" w:rsidRPr="00925C57">
        <w:t xml:space="preserve"> with the</w:t>
      </w:r>
      <w:r w:rsidR="00E3169E" w:rsidRPr="00925C57">
        <w:t xml:space="preserve"> docked one. </w:t>
      </w:r>
      <w:r w:rsidR="00FF0DC1" w:rsidRPr="00925C57">
        <w:rPr>
          <w:color w:val="000000" w:themeColor="text1"/>
        </w:rPr>
        <w:t xml:space="preserve">The superposition resulted in the positional </w:t>
      </w:r>
      <w:r w:rsidR="00B4484B" w:rsidRPr="00925C57">
        <w:rPr>
          <w:color w:val="000000" w:themeColor="text1"/>
        </w:rPr>
        <w:t>root-mean square deviation (</w:t>
      </w:r>
      <w:r w:rsidR="00FF0DC1" w:rsidRPr="00925C57">
        <w:rPr>
          <w:color w:val="000000" w:themeColor="text1"/>
        </w:rPr>
        <w:t>RMSD</w:t>
      </w:r>
      <w:r w:rsidR="00B4484B" w:rsidRPr="00925C57">
        <w:rPr>
          <w:color w:val="000000" w:themeColor="text1"/>
        </w:rPr>
        <w:t>)</w:t>
      </w:r>
      <w:r w:rsidR="00E45A89" w:rsidRPr="00925C57">
        <w:rPr>
          <w:color w:val="000000" w:themeColor="text1"/>
        </w:rPr>
        <w:t xml:space="preserve"> value of 1.0</w:t>
      </w:r>
      <w:r w:rsidR="00FF0DC1" w:rsidRPr="00925C57">
        <w:rPr>
          <w:color w:val="000000" w:themeColor="text1"/>
        </w:rPr>
        <w:t xml:space="preserve"> Å</w:t>
      </w:r>
      <w:r w:rsidR="00AE7F20" w:rsidRPr="00925C57">
        <w:rPr>
          <w:color w:val="000000" w:themeColor="text1"/>
        </w:rPr>
        <w:t xml:space="preserve"> performed with AutoDock software (Figure 1 A)</w:t>
      </w:r>
      <w:r w:rsidR="0061743E" w:rsidRPr="00925C57">
        <w:rPr>
          <w:color w:val="000000" w:themeColor="text1"/>
        </w:rPr>
        <w:t>,</w:t>
      </w:r>
      <w:r w:rsidR="00E45A89" w:rsidRPr="00925C57">
        <w:rPr>
          <w:color w:val="000000" w:themeColor="text1"/>
        </w:rPr>
        <w:t xml:space="preserve"> 0.5</w:t>
      </w:r>
      <w:r w:rsidR="00AE7F20" w:rsidRPr="00925C57">
        <w:rPr>
          <w:color w:val="000000" w:themeColor="text1"/>
        </w:rPr>
        <w:t xml:space="preserve"> Å – with GOLD</w:t>
      </w:r>
      <w:r w:rsidR="00E45A89" w:rsidRPr="00925C57">
        <w:rPr>
          <w:color w:val="000000" w:themeColor="text1"/>
        </w:rPr>
        <w:t xml:space="preserve"> software (Figure 1 B) and 0.4</w:t>
      </w:r>
      <w:r w:rsidR="00AE7F20" w:rsidRPr="00925C57">
        <w:rPr>
          <w:color w:val="000000" w:themeColor="text1"/>
        </w:rPr>
        <w:t xml:space="preserve"> Å – with MOE (Figure 1 C)</w:t>
      </w:r>
      <w:r w:rsidR="00B34325" w:rsidRPr="00925C57">
        <w:rPr>
          <w:color w:val="000000" w:themeColor="text1"/>
        </w:rPr>
        <w:t>. The values are</w:t>
      </w:r>
      <w:r w:rsidR="00FF0DC1" w:rsidRPr="00925C57">
        <w:rPr>
          <w:color w:val="000000" w:themeColor="text1"/>
        </w:rPr>
        <w:t xml:space="preserve"> within the admissible error ra</w:t>
      </w:r>
      <w:r w:rsidR="00B4484B" w:rsidRPr="00925C57">
        <w:rPr>
          <w:color w:val="000000" w:themeColor="text1"/>
        </w:rPr>
        <w:t>nge (</w:t>
      </w:r>
      <w:r w:rsidR="002E27D7" w:rsidRPr="00925C57">
        <w:rPr>
          <w:color w:val="000000" w:themeColor="text1"/>
        </w:rPr>
        <w:t xml:space="preserve">well </w:t>
      </w:r>
      <w:r w:rsidR="00FF0DC1" w:rsidRPr="00925C57">
        <w:rPr>
          <w:color w:val="000000" w:themeColor="text1"/>
        </w:rPr>
        <w:t>below 2 Å</w:t>
      </w:r>
      <w:r w:rsidR="00B4484B" w:rsidRPr="00925C57">
        <w:rPr>
          <w:color w:val="000000" w:themeColor="text1"/>
        </w:rPr>
        <w:t>)</w:t>
      </w:r>
      <w:r w:rsidR="00FF0DC1" w:rsidRPr="00925C57">
        <w:rPr>
          <w:color w:val="000000" w:themeColor="text1"/>
        </w:rPr>
        <w:t xml:space="preserve"> and</w:t>
      </w:r>
      <w:r w:rsidR="00B34325" w:rsidRPr="00925C57">
        <w:rPr>
          <w:color w:val="000000" w:themeColor="text1"/>
        </w:rPr>
        <w:t xml:space="preserve"> therefore the docking </w:t>
      </w:r>
      <w:r w:rsidR="009832B6" w:rsidRPr="00925C57">
        <w:rPr>
          <w:color w:val="000000" w:themeColor="text1"/>
        </w:rPr>
        <w:t>results can be considered as trustworthy</w:t>
      </w:r>
      <w:r w:rsidR="00FF0DC1" w:rsidRPr="00925C57">
        <w:rPr>
          <w:color w:val="000000" w:themeColor="text1"/>
        </w:rPr>
        <w:t>.</w:t>
      </w:r>
    </w:p>
    <w:p w14:paraId="457F77DA" w14:textId="186CD911" w:rsidR="00FF0DC1" w:rsidRPr="00925C57" w:rsidRDefault="00574F6E" w:rsidP="00FE407B">
      <w:pPr>
        <w:pStyle w:val="MDPI52figure"/>
      </w:pPr>
      <w:r w:rsidRPr="00925C57">
        <w:rPr>
          <w:noProof/>
        </w:rPr>
        <w:lastRenderedPageBreak/>
        <w:drawing>
          <wp:inline distT="0" distB="0" distL="0" distR="0" wp14:anchorId="22D01182" wp14:editId="0A4FCE27">
            <wp:extent cx="5895975" cy="2145187"/>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MSD.png"/>
                    <pic:cNvPicPr/>
                  </pic:nvPicPr>
                  <pic:blipFill>
                    <a:blip r:embed="rId10">
                      <a:extLst>
                        <a:ext uri="{28A0092B-C50C-407E-A947-70E740481C1C}">
                          <a14:useLocalDpi xmlns:a14="http://schemas.microsoft.com/office/drawing/2010/main" val="0"/>
                        </a:ext>
                      </a:extLst>
                    </a:blip>
                    <a:stretch>
                      <a:fillRect/>
                    </a:stretch>
                  </pic:blipFill>
                  <pic:spPr>
                    <a:xfrm>
                      <a:off x="0" y="0"/>
                      <a:ext cx="5907225" cy="2149280"/>
                    </a:xfrm>
                    <a:prstGeom prst="rect">
                      <a:avLst/>
                    </a:prstGeom>
                  </pic:spPr>
                </pic:pic>
              </a:graphicData>
            </a:graphic>
          </wp:inline>
        </w:drawing>
      </w:r>
    </w:p>
    <w:p w14:paraId="1BDBADC4" w14:textId="307E713E" w:rsidR="00FF0DC1" w:rsidRPr="00925C57" w:rsidRDefault="00FE407B" w:rsidP="00FE407B">
      <w:pPr>
        <w:pStyle w:val="MDPI51figurecaption"/>
        <w:ind w:left="425" w:right="425"/>
        <w:jc w:val="both"/>
      </w:pPr>
      <w:r w:rsidRPr="00925C57">
        <w:rPr>
          <w:b/>
          <w:color w:val="000000" w:themeColor="text1"/>
        </w:rPr>
        <w:t xml:space="preserve">Figure 1. </w:t>
      </w:r>
      <w:r w:rsidR="005253A1" w:rsidRPr="00925C57">
        <w:rPr>
          <w:b/>
        </w:rPr>
        <w:t>A.</w:t>
      </w:r>
      <w:r w:rsidR="005253A1" w:rsidRPr="00925C57">
        <w:t xml:space="preserve"> superposition of the drug Oseltamivir inside the binding pocket of native crystal structure of 4MWQ shown in green and the re-docked complex using “AutoDock” is shown in deep salmon (</w:t>
      </w:r>
      <w:r w:rsidR="00E45A89" w:rsidRPr="00925C57">
        <w:t>RMSD: 1</w:t>
      </w:r>
      <w:r w:rsidR="005253A1" w:rsidRPr="00925C57">
        <w:t>.</w:t>
      </w:r>
      <w:r w:rsidR="00E45A89" w:rsidRPr="00925C57">
        <w:t>0</w:t>
      </w:r>
      <w:r w:rsidR="005253A1" w:rsidRPr="00925C57">
        <w:t xml:space="preserve">) </w:t>
      </w:r>
      <w:r w:rsidR="005253A1" w:rsidRPr="00925C57">
        <w:rPr>
          <w:b/>
        </w:rPr>
        <w:t xml:space="preserve">B. </w:t>
      </w:r>
      <w:r w:rsidR="005253A1" w:rsidRPr="00925C57">
        <w:t>superposition of the drug Oseltamivir inside the binding pocket of native crystal structure of 4MWQ shown in green and the re-docked complex using “GOLD”</w:t>
      </w:r>
      <w:r w:rsidR="00E45A89" w:rsidRPr="00925C57">
        <w:t xml:space="preserve"> is shown in orange (RMSD: 0.5</w:t>
      </w:r>
      <w:r w:rsidR="005253A1" w:rsidRPr="00925C57">
        <w:t xml:space="preserve">) </w:t>
      </w:r>
      <w:r w:rsidR="005253A1" w:rsidRPr="00925C57">
        <w:rPr>
          <w:b/>
        </w:rPr>
        <w:t>C.</w:t>
      </w:r>
      <w:r w:rsidR="005253A1" w:rsidRPr="00925C57">
        <w:t xml:space="preserve"> superposition of the drug Oseltamivir inside the binding pocket of native crystal structure of 4MWQ shown in green and the re-docked complex using “MOE” is shown in blue (RMSD:</w:t>
      </w:r>
      <w:r w:rsidR="005253A1" w:rsidRPr="00925C57">
        <w:rPr>
          <w:b/>
        </w:rPr>
        <w:t xml:space="preserve"> </w:t>
      </w:r>
      <w:r w:rsidR="005253A1" w:rsidRPr="00925C57">
        <w:t>0.</w:t>
      </w:r>
      <w:r w:rsidR="00E45A89" w:rsidRPr="00925C57">
        <w:t>4</w:t>
      </w:r>
      <w:r w:rsidR="005253A1" w:rsidRPr="00925C57">
        <w:t>)</w:t>
      </w:r>
      <w:r w:rsidR="007C60BA" w:rsidRPr="00925C57">
        <w:t>.</w:t>
      </w:r>
    </w:p>
    <w:p w14:paraId="38D7AFC9" w14:textId="1CAEE5CF" w:rsidR="00FF0DC1" w:rsidRPr="00925C57" w:rsidRDefault="00235BD9" w:rsidP="00FE407B">
      <w:pPr>
        <w:pStyle w:val="MDPI22heading2"/>
        <w:spacing w:before="240"/>
      </w:pPr>
      <w:r w:rsidRPr="00925C57">
        <w:t xml:space="preserve">2.2. </w:t>
      </w:r>
      <w:r w:rsidR="0034060B" w:rsidRPr="00925C57">
        <w:t xml:space="preserve">Evaluation of </w:t>
      </w:r>
      <w:r w:rsidR="00EF669F" w:rsidRPr="00925C57">
        <w:t xml:space="preserve">The Best Drug Candidates Against Wild Type As Well As Mutated </w:t>
      </w:r>
      <w:r w:rsidR="0061743E" w:rsidRPr="00925C57">
        <w:t>N9.</w:t>
      </w:r>
    </w:p>
    <w:p w14:paraId="34B49ACC" w14:textId="5208331F" w:rsidR="00CB277D" w:rsidRPr="00925C57" w:rsidRDefault="0007329D" w:rsidP="00FE407B">
      <w:pPr>
        <w:pStyle w:val="MDPI31text"/>
        <w:rPr>
          <w:color w:val="0070C0"/>
        </w:rPr>
      </w:pPr>
      <w:r w:rsidRPr="00925C57">
        <w:t>Table</w:t>
      </w:r>
      <w:r w:rsidR="0037751B" w:rsidRPr="00925C57">
        <w:t>s</w:t>
      </w:r>
      <w:r w:rsidRPr="00925C57">
        <w:t xml:space="preserve"> 1</w:t>
      </w:r>
      <w:r w:rsidR="0037751B" w:rsidRPr="00925C57">
        <w:t>, 2 and 3</w:t>
      </w:r>
      <w:r w:rsidRPr="00925C57">
        <w:t xml:space="preserve"> </w:t>
      </w:r>
      <w:r w:rsidR="0037751B" w:rsidRPr="00925C57">
        <w:t>report</w:t>
      </w:r>
      <w:r w:rsidR="00D01BC1" w:rsidRPr="00925C57">
        <w:t xml:space="preserve"> the top</w:t>
      </w:r>
      <w:r w:rsidRPr="00925C57">
        <w:t xml:space="preserve"> scores for the </w:t>
      </w:r>
      <w:r w:rsidR="0037751B" w:rsidRPr="00925C57">
        <w:t xml:space="preserve">drugs </w:t>
      </w:r>
      <w:r w:rsidR="003D2258" w:rsidRPr="00925C57">
        <w:t>Oseltamivir, Zanamivir, Peramivir, L</w:t>
      </w:r>
      <w:r w:rsidRPr="00925C57">
        <w:t xml:space="preserve">aninamivir, L-Arginine and Benserazide hydrochloride </w:t>
      </w:r>
      <w:r w:rsidR="0037751B" w:rsidRPr="00925C57">
        <w:t>according to three</w:t>
      </w:r>
      <w:r w:rsidR="008E2CF1" w:rsidRPr="00925C57">
        <w:t xml:space="preserve"> </w:t>
      </w:r>
      <w:r w:rsidR="00E13973" w:rsidRPr="00925C57">
        <w:t>docking</w:t>
      </w:r>
      <w:r w:rsidRPr="00925C57">
        <w:t xml:space="preserve"> </w:t>
      </w:r>
      <w:r w:rsidR="0037751B" w:rsidRPr="00925C57">
        <w:t xml:space="preserve">protocols – AutoDock, GOLD and MOE with respect to </w:t>
      </w:r>
      <w:r w:rsidR="00CF1231" w:rsidRPr="00925C57">
        <w:t>the binding pocket</w:t>
      </w:r>
      <w:r w:rsidRPr="00925C57">
        <w:t xml:space="preserve"> o</w:t>
      </w:r>
      <w:r w:rsidR="003D2258" w:rsidRPr="00925C57">
        <w:t>f the wild type</w:t>
      </w:r>
      <w:r w:rsidR="00D01BC1" w:rsidRPr="00925C57">
        <w:t xml:space="preserve"> as well as</w:t>
      </w:r>
      <w:r w:rsidRPr="00925C57">
        <w:t xml:space="preserve"> </w:t>
      </w:r>
      <w:r w:rsidR="003D2258" w:rsidRPr="00925C57">
        <w:t>mutated N9 NAs</w:t>
      </w:r>
      <w:r w:rsidRPr="00925C57">
        <w:t>.</w:t>
      </w:r>
      <w:r w:rsidR="008E2CF1" w:rsidRPr="00925C57">
        <w:rPr>
          <w:color w:val="0070C0"/>
        </w:rPr>
        <w:t xml:space="preserve"> </w:t>
      </w:r>
      <w:r w:rsidR="00CF1231" w:rsidRPr="00925C57">
        <w:t xml:space="preserve">From </w:t>
      </w:r>
      <w:r w:rsidR="00D01BC1" w:rsidRPr="00925C57">
        <w:t xml:space="preserve">all </w:t>
      </w:r>
      <w:r w:rsidR="00C3300F" w:rsidRPr="00925C57">
        <w:t>s</w:t>
      </w:r>
      <w:r w:rsidR="00CF1231" w:rsidRPr="00925C57">
        <w:t xml:space="preserve">tudied </w:t>
      </w:r>
      <w:r w:rsidR="00B660C1" w:rsidRPr="00925C57">
        <w:t xml:space="preserve">compounds with respect to all considered </w:t>
      </w:r>
      <w:r w:rsidR="00251070" w:rsidRPr="00925C57">
        <w:t>N</w:t>
      </w:r>
      <w:r w:rsidR="00B660C1" w:rsidRPr="00925C57">
        <w:t xml:space="preserve">As, </w:t>
      </w:r>
      <w:r w:rsidR="00CF1231" w:rsidRPr="00925C57">
        <w:t xml:space="preserve">the highest score </w:t>
      </w:r>
      <w:r w:rsidR="00B660C1" w:rsidRPr="00925C57">
        <w:t xml:space="preserve">in most </w:t>
      </w:r>
      <w:r w:rsidR="00C3300F" w:rsidRPr="00925C57">
        <w:t xml:space="preserve">of the </w:t>
      </w:r>
      <w:r w:rsidR="00B660C1" w:rsidRPr="00925C57">
        <w:t xml:space="preserve">cases </w:t>
      </w:r>
      <w:r w:rsidR="00CF1231" w:rsidRPr="00925C57">
        <w:t xml:space="preserve">belongs to </w:t>
      </w:r>
      <w:r w:rsidR="00B660C1" w:rsidRPr="00925C57">
        <w:t xml:space="preserve">the drug </w:t>
      </w:r>
      <w:r w:rsidR="003D2258" w:rsidRPr="00925C57">
        <w:t>P</w:t>
      </w:r>
      <w:r w:rsidR="00D01BC1" w:rsidRPr="00925C57">
        <w:t xml:space="preserve">eramivir </w:t>
      </w:r>
      <w:r w:rsidR="00B660C1" w:rsidRPr="00925C57">
        <w:t xml:space="preserve">according to the three </w:t>
      </w:r>
      <w:r w:rsidR="003D2258" w:rsidRPr="00925C57">
        <w:t>docking algorithms</w:t>
      </w:r>
      <w:r w:rsidR="00B660C1" w:rsidRPr="00925C57">
        <w:t xml:space="preserve"> (please, refer to Tables 1, 2 and 3)</w:t>
      </w:r>
      <w:r w:rsidR="00CF1231" w:rsidRPr="00925C57">
        <w:t>.</w:t>
      </w:r>
      <w:r w:rsidR="00CF1231" w:rsidRPr="00925C57">
        <w:rPr>
          <w:color w:val="0070C0"/>
        </w:rPr>
        <w:t xml:space="preserve"> </w:t>
      </w:r>
      <w:r w:rsidR="0061743E" w:rsidRPr="00925C57">
        <w:t>Despite the fact that P</w:t>
      </w:r>
      <w:r w:rsidR="00B660C1" w:rsidRPr="00925C57">
        <w:t>eramivir maintains the best binding score in almost all studied NAs, it is worth to note that mutation in the binding pocket reduces the strength of binding</w:t>
      </w:r>
      <w:r w:rsidR="003D2258" w:rsidRPr="00925C57">
        <w:t xml:space="preserve"> (Tables 1, 2 and 3, top scores highlighted in bold)</w:t>
      </w:r>
      <w:r w:rsidR="00B660C1" w:rsidRPr="00925C57">
        <w:t>.</w:t>
      </w:r>
    </w:p>
    <w:p w14:paraId="0FEEFBFF" w14:textId="77777777" w:rsidR="00FE407B" w:rsidRPr="00925C57" w:rsidRDefault="00FE407B" w:rsidP="00FE407B">
      <w:pPr>
        <w:pStyle w:val="MDPI41tablecaption"/>
        <w:ind w:left="425" w:right="425"/>
        <w:jc w:val="center"/>
      </w:pPr>
      <w:r w:rsidRPr="00925C57">
        <w:rPr>
          <w:b/>
        </w:rPr>
        <w:t xml:space="preserve">Table 1. </w:t>
      </w:r>
      <w:r w:rsidRPr="00925C57">
        <w:t>Lowest binding energies according to AutoDock software</w:t>
      </w:r>
      <w:r w:rsidRPr="00925C57">
        <w:rPr>
          <w:vertAlign w:val="superscript"/>
        </w:rPr>
        <w:t>1.</w:t>
      </w:r>
    </w:p>
    <w:tbl>
      <w:tblPr>
        <w:tblStyle w:val="TableGrid"/>
        <w:tblW w:w="10465"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73"/>
        <w:gridCol w:w="1141"/>
        <w:gridCol w:w="1269"/>
        <w:gridCol w:w="1110"/>
        <w:gridCol w:w="953"/>
        <w:gridCol w:w="952"/>
        <w:gridCol w:w="953"/>
        <w:gridCol w:w="952"/>
        <w:gridCol w:w="2062"/>
      </w:tblGrid>
      <w:tr w:rsidR="00FE407B" w:rsidRPr="00925C57" w14:paraId="725D1E57" w14:textId="77777777" w:rsidTr="00FE407B">
        <w:tc>
          <w:tcPr>
            <w:tcW w:w="1073" w:type="dxa"/>
            <w:tcBorders>
              <w:top w:val="single" w:sz="8" w:space="0" w:color="auto"/>
              <w:bottom w:val="single" w:sz="4" w:space="0" w:color="auto"/>
            </w:tcBorders>
            <w:shd w:val="clear" w:color="auto" w:fill="auto"/>
            <w:vAlign w:val="center"/>
          </w:tcPr>
          <w:p w14:paraId="13D14027"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p>
        </w:tc>
        <w:tc>
          <w:tcPr>
            <w:tcW w:w="1141" w:type="dxa"/>
            <w:tcBorders>
              <w:top w:val="single" w:sz="8" w:space="0" w:color="auto"/>
              <w:bottom w:val="single" w:sz="4" w:space="0" w:color="auto"/>
            </w:tcBorders>
            <w:shd w:val="clear" w:color="auto" w:fill="auto"/>
            <w:vAlign w:val="center"/>
          </w:tcPr>
          <w:p w14:paraId="5D96DED3"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 (4MWQ)</w:t>
            </w:r>
          </w:p>
        </w:tc>
        <w:tc>
          <w:tcPr>
            <w:tcW w:w="1269" w:type="dxa"/>
            <w:tcBorders>
              <w:top w:val="single" w:sz="8" w:space="0" w:color="auto"/>
              <w:bottom w:val="single" w:sz="4" w:space="0" w:color="auto"/>
            </w:tcBorders>
            <w:shd w:val="clear" w:color="auto" w:fill="auto"/>
            <w:vAlign w:val="center"/>
          </w:tcPr>
          <w:p w14:paraId="7FEF2981"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R294K (4MWW)</w:t>
            </w:r>
          </w:p>
        </w:tc>
        <w:tc>
          <w:tcPr>
            <w:tcW w:w="1110" w:type="dxa"/>
            <w:tcBorders>
              <w:top w:val="single" w:sz="8" w:space="0" w:color="auto"/>
              <w:bottom w:val="single" w:sz="4" w:space="0" w:color="auto"/>
            </w:tcBorders>
            <w:shd w:val="clear" w:color="auto" w:fill="auto"/>
            <w:vAlign w:val="center"/>
          </w:tcPr>
          <w:p w14:paraId="15182670"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R119K</w:t>
            </w:r>
          </w:p>
        </w:tc>
        <w:tc>
          <w:tcPr>
            <w:tcW w:w="953" w:type="dxa"/>
            <w:tcBorders>
              <w:top w:val="single" w:sz="8" w:space="0" w:color="auto"/>
              <w:bottom w:val="single" w:sz="4" w:space="0" w:color="auto"/>
            </w:tcBorders>
            <w:shd w:val="clear" w:color="auto" w:fill="auto"/>
            <w:vAlign w:val="center"/>
          </w:tcPr>
          <w:p w14:paraId="5A8751CE"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R372K</w:t>
            </w:r>
          </w:p>
        </w:tc>
        <w:tc>
          <w:tcPr>
            <w:tcW w:w="952" w:type="dxa"/>
            <w:tcBorders>
              <w:top w:val="single" w:sz="8" w:space="0" w:color="auto"/>
              <w:bottom w:val="single" w:sz="4" w:space="0" w:color="auto"/>
            </w:tcBorders>
            <w:shd w:val="clear" w:color="auto" w:fill="auto"/>
            <w:vAlign w:val="center"/>
          </w:tcPr>
          <w:p w14:paraId="145A31BE"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R294_119K</w:t>
            </w:r>
          </w:p>
        </w:tc>
        <w:tc>
          <w:tcPr>
            <w:tcW w:w="953" w:type="dxa"/>
            <w:tcBorders>
              <w:top w:val="single" w:sz="8" w:space="0" w:color="auto"/>
              <w:bottom w:val="single" w:sz="4" w:space="0" w:color="auto"/>
            </w:tcBorders>
            <w:shd w:val="clear" w:color="auto" w:fill="auto"/>
            <w:vAlign w:val="center"/>
          </w:tcPr>
          <w:p w14:paraId="6332FAB2"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R294_372K</w:t>
            </w:r>
          </w:p>
        </w:tc>
        <w:tc>
          <w:tcPr>
            <w:tcW w:w="952" w:type="dxa"/>
            <w:tcBorders>
              <w:top w:val="single" w:sz="8" w:space="0" w:color="auto"/>
              <w:bottom w:val="single" w:sz="4" w:space="0" w:color="auto"/>
            </w:tcBorders>
            <w:shd w:val="clear" w:color="auto" w:fill="auto"/>
            <w:vAlign w:val="center"/>
          </w:tcPr>
          <w:p w14:paraId="35C8731B"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R119_372K</w:t>
            </w:r>
          </w:p>
        </w:tc>
        <w:tc>
          <w:tcPr>
            <w:tcW w:w="2062" w:type="dxa"/>
            <w:tcBorders>
              <w:top w:val="single" w:sz="8" w:space="0" w:color="auto"/>
              <w:bottom w:val="single" w:sz="4" w:space="0" w:color="auto"/>
            </w:tcBorders>
            <w:shd w:val="clear" w:color="auto" w:fill="auto"/>
            <w:vAlign w:val="center"/>
          </w:tcPr>
          <w:p w14:paraId="65F4909F"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R294_119_372K</w:t>
            </w:r>
          </w:p>
        </w:tc>
      </w:tr>
      <w:tr w:rsidR="00FE407B" w:rsidRPr="00925C57" w14:paraId="047677B5" w14:textId="77777777" w:rsidTr="00FE407B">
        <w:tc>
          <w:tcPr>
            <w:tcW w:w="1073" w:type="dxa"/>
            <w:tcBorders>
              <w:top w:val="single" w:sz="4" w:space="0" w:color="auto"/>
            </w:tcBorders>
            <w:shd w:val="clear" w:color="auto" w:fill="auto"/>
            <w:vAlign w:val="center"/>
          </w:tcPr>
          <w:p w14:paraId="7961F619"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Oselt.</w:t>
            </w:r>
          </w:p>
        </w:tc>
        <w:tc>
          <w:tcPr>
            <w:tcW w:w="1141" w:type="dxa"/>
            <w:tcBorders>
              <w:top w:val="single" w:sz="4" w:space="0" w:color="auto"/>
            </w:tcBorders>
            <w:shd w:val="clear" w:color="auto" w:fill="auto"/>
            <w:vAlign w:val="center"/>
          </w:tcPr>
          <w:p w14:paraId="3E2B1F15"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color w:val="000000" w:themeColor="text1"/>
                <w:sz w:val="20"/>
                <w:lang w:val="en-US"/>
              </w:rPr>
              <w:t>-8.3</w:t>
            </w:r>
          </w:p>
        </w:tc>
        <w:tc>
          <w:tcPr>
            <w:tcW w:w="1269" w:type="dxa"/>
            <w:tcBorders>
              <w:top w:val="single" w:sz="4" w:space="0" w:color="auto"/>
            </w:tcBorders>
            <w:shd w:val="clear" w:color="auto" w:fill="auto"/>
            <w:vAlign w:val="center"/>
          </w:tcPr>
          <w:p w14:paraId="1754482A"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-7.1</w:t>
            </w:r>
          </w:p>
        </w:tc>
        <w:tc>
          <w:tcPr>
            <w:tcW w:w="1110" w:type="dxa"/>
            <w:tcBorders>
              <w:top w:val="single" w:sz="4" w:space="0" w:color="auto"/>
            </w:tcBorders>
            <w:shd w:val="clear" w:color="auto" w:fill="auto"/>
            <w:vAlign w:val="center"/>
          </w:tcPr>
          <w:p w14:paraId="17613D71"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-7.0</w:t>
            </w:r>
          </w:p>
        </w:tc>
        <w:tc>
          <w:tcPr>
            <w:tcW w:w="953" w:type="dxa"/>
            <w:tcBorders>
              <w:top w:val="single" w:sz="4" w:space="0" w:color="auto"/>
            </w:tcBorders>
            <w:shd w:val="clear" w:color="auto" w:fill="auto"/>
            <w:vAlign w:val="center"/>
          </w:tcPr>
          <w:p w14:paraId="087EC4C9" w14:textId="77777777" w:rsidR="00FE407B" w:rsidRPr="00925C57" w:rsidRDefault="00FE407B"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-7.1</w:t>
            </w:r>
          </w:p>
        </w:tc>
        <w:tc>
          <w:tcPr>
            <w:tcW w:w="952" w:type="dxa"/>
            <w:tcBorders>
              <w:top w:val="single" w:sz="4" w:space="0" w:color="auto"/>
            </w:tcBorders>
            <w:shd w:val="clear" w:color="auto" w:fill="auto"/>
            <w:vAlign w:val="center"/>
          </w:tcPr>
          <w:p w14:paraId="0250175C" w14:textId="77777777" w:rsidR="00FE407B" w:rsidRPr="00925C57" w:rsidRDefault="00FE407B"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-6.2</w:t>
            </w:r>
          </w:p>
        </w:tc>
        <w:tc>
          <w:tcPr>
            <w:tcW w:w="953" w:type="dxa"/>
            <w:tcBorders>
              <w:top w:val="single" w:sz="4" w:space="0" w:color="auto"/>
            </w:tcBorders>
            <w:shd w:val="clear" w:color="auto" w:fill="auto"/>
            <w:vAlign w:val="center"/>
          </w:tcPr>
          <w:p w14:paraId="559CCAB6"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-6.9</w:t>
            </w:r>
          </w:p>
        </w:tc>
        <w:tc>
          <w:tcPr>
            <w:tcW w:w="952" w:type="dxa"/>
            <w:tcBorders>
              <w:top w:val="single" w:sz="4" w:space="0" w:color="auto"/>
            </w:tcBorders>
            <w:shd w:val="clear" w:color="auto" w:fill="auto"/>
            <w:vAlign w:val="center"/>
          </w:tcPr>
          <w:p w14:paraId="7B197AFD"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-6.4</w:t>
            </w:r>
          </w:p>
        </w:tc>
        <w:tc>
          <w:tcPr>
            <w:tcW w:w="2062" w:type="dxa"/>
            <w:tcBorders>
              <w:top w:val="single" w:sz="4" w:space="0" w:color="auto"/>
            </w:tcBorders>
            <w:shd w:val="clear" w:color="auto" w:fill="auto"/>
            <w:vAlign w:val="center"/>
          </w:tcPr>
          <w:p w14:paraId="1B9028B5"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-6.2</w:t>
            </w:r>
          </w:p>
        </w:tc>
      </w:tr>
      <w:tr w:rsidR="00FE407B" w:rsidRPr="00925C57" w14:paraId="1207D55F" w14:textId="77777777" w:rsidTr="00FE407B">
        <w:tc>
          <w:tcPr>
            <w:tcW w:w="1073" w:type="dxa"/>
            <w:shd w:val="clear" w:color="auto" w:fill="auto"/>
            <w:vAlign w:val="center"/>
          </w:tcPr>
          <w:p w14:paraId="4FDB06F6"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Zan.</w:t>
            </w:r>
          </w:p>
        </w:tc>
        <w:tc>
          <w:tcPr>
            <w:tcW w:w="1141" w:type="dxa"/>
            <w:shd w:val="clear" w:color="auto" w:fill="auto"/>
            <w:vAlign w:val="center"/>
          </w:tcPr>
          <w:p w14:paraId="20A6EBA7"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-7.4</w:t>
            </w:r>
          </w:p>
        </w:tc>
        <w:tc>
          <w:tcPr>
            <w:tcW w:w="1269" w:type="dxa"/>
            <w:shd w:val="clear" w:color="auto" w:fill="auto"/>
            <w:vAlign w:val="center"/>
          </w:tcPr>
          <w:p w14:paraId="3EAB28CE"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-7.4</w:t>
            </w:r>
          </w:p>
        </w:tc>
        <w:tc>
          <w:tcPr>
            <w:tcW w:w="1110" w:type="dxa"/>
            <w:shd w:val="clear" w:color="auto" w:fill="auto"/>
            <w:vAlign w:val="center"/>
          </w:tcPr>
          <w:p w14:paraId="47493716"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-6.7</w:t>
            </w:r>
          </w:p>
        </w:tc>
        <w:tc>
          <w:tcPr>
            <w:tcW w:w="953" w:type="dxa"/>
            <w:shd w:val="clear" w:color="auto" w:fill="auto"/>
            <w:vAlign w:val="center"/>
          </w:tcPr>
          <w:p w14:paraId="5ED30F12" w14:textId="77777777" w:rsidR="00FE407B" w:rsidRPr="00925C57" w:rsidRDefault="00FE407B"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-6.6</w:t>
            </w:r>
          </w:p>
        </w:tc>
        <w:tc>
          <w:tcPr>
            <w:tcW w:w="952" w:type="dxa"/>
            <w:shd w:val="clear" w:color="auto" w:fill="auto"/>
            <w:vAlign w:val="center"/>
          </w:tcPr>
          <w:p w14:paraId="61F61BB3" w14:textId="77777777" w:rsidR="00FE407B" w:rsidRPr="00925C57" w:rsidRDefault="00FE407B"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-5.2</w:t>
            </w:r>
          </w:p>
        </w:tc>
        <w:tc>
          <w:tcPr>
            <w:tcW w:w="953" w:type="dxa"/>
            <w:shd w:val="clear" w:color="auto" w:fill="auto"/>
            <w:vAlign w:val="center"/>
          </w:tcPr>
          <w:p w14:paraId="39918D07"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-6.4</w:t>
            </w:r>
          </w:p>
        </w:tc>
        <w:tc>
          <w:tcPr>
            <w:tcW w:w="952" w:type="dxa"/>
            <w:shd w:val="clear" w:color="auto" w:fill="auto"/>
            <w:vAlign w:val="center"/>
          </w:tcPr>
          <w:p w14:paraId="1FDC07B5"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-6.3</w:t>
            </w:r>
          </w:p>
        </w:tc>
        <w:tc>
          <w:tcPr>
            <w:tcW w:w="2062" w:type="dxa"/>
            <w:shd w:val="clear" w:color="auto" w:fill="auto"/>
            <w:vAlign w:val="center"/>
          </w:tcPr>
          <w:p w14:paraId="57206D24" w14:textId="77777777" w:rsidR="00FE407B" w:rsidRPr="00925C57" w:rsidRDefault="00FE407B"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-5.2</w:t>
            </w:r>
          </w:p>
        </w:tc>
      </w:tr>
      <w:tr w:rsidR="00FE407B" w:rsidRPr="00925C57" w14:paraId="2F851904" w14:textId="77777777" w:rsidTr="00FE407B">
        <w:tc>
          <w:tcPr>
            <w:tcW w:w="1073" w:type="dxa"/>
            <w:shd w:val="clear" w:color="auto" w:fill="auto"/>
            <w:vAlign w:val="center"/>
          </w:tcPr>
          <w:p w14:paraId="51916870"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Per.</w:t>
            </w:r>
          </w:p>
        </w:tc>
        <w:tc>
          <w:tcPr>
            <w:tcW w:w="1141" w:type="dxa"/>
            <w:shd w:val="clear" w:color="auto" w:fill="auto"/>
            <w:vAlign w:val="center"/>
          </w:tcPr>
          <w:p w14:paraId="5260831A"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-8.7</w:t>
            </w:r>
          </w:p>
        </w:tc>
        <w:tc>
          <w:tcPr>
            <w:tcW w:w="1269" w:type="dxa"/>
            <w:shd w:val="clear" w:color="auto" w:fill="auto"/>
            <w:vAlign w:val="center"/>
          </w:tcPr>
          <w:p w14:paraId="5B92644B"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-8.0</w:t>
            </w:r>
          </w:p>
        </w:tc>
        <w:tc>
          <w:tcPr>
            <w:tcW w:w="1110" w:type="dxa"/>
            <w:shd w:val="clear" w:color="auto" w:fill="auto"/>
            <w:vAlign w:val="center"/>
          </w:tcPr>
          <w:p w14:paraId="1A1E8803"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-7.2</w:t>
            </w:r>
          </w:p>
        </w:tc>
        <w:tc>
          <w:tcPr>
            <w:tcW w:w="953" w:type="dxa"/>
            <w:shd w:val="clear" w:color="auto" w:fill="auto"/>
            <w:vAlign w:val="center"/>
          </w:tcPr>
          <w:p w14:paraId="20548ABF"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-7.4</w:t>
            </w:r>
          </w:p>
        </w:tc>
        <w:tc>
          <w:tcPr>
            <w:tcW w:w="952" w:type="dxa"/>
            <w:shd w:val="clear" w:color="auto" w:fill="auto"/>
            <w:vAlign w:val="center"/>
          </w:tcPr>
          <w:p w14:paraId="665B88F1"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-6.3</w:t>
            </w:r>
          </w:p>
        </w:tc>
        <w:tc>
          <w:tcPr>
            <w:tcW w:w="953" w:type="dxa"/>
            <w:shd w:val="clear" w:color="auto" w:fill="auto"/>
            <w:vAlign w:val="center"/>
          </w:tcPr>
          <w:p w14:paraId="60A1714C"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-6.2</w:t>
            </w:r>
          </w:p>
        </w:tc>
        <w:tc>
          <w:tcPr>
            <w:tcW w:w="952" w:type="dxa"/>
            <w:shd w:val="clear" w:color="auto" w:fill="auto"/>
            <w:vAlign w:val="center"/>
          </w:tcPr>
          <w:p w14:paraId="2C845218"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-6.6</w:t>
            </w:r>
          </w:p>
        </w:tc>
        <w:tc>
          <w:tcPr>
            <w:tcW w:w="2062" w:type="dxa"/>
            <w:shd w:val="clear" w:color="auto" w:fill="auto"/>
            <w:vAlign w:val="center"/>
          </w:tcPr>
          <w:p w14:paraId="6B4E2241" w14:textId="77777777" w:rsidR="00FE407B" w:rsidRPr="00925C57" w:rsidRDefault="00FE407B"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-6.0</w:t>
            </w:r>
          </w:p>
        </w:tc>
      </w:tr>
      <w:tr w:rsidR="00FE407B" w:rsidRPr="00925C57" w14:paraId="51FECF22" w14:textId="77777777" w:rsidTr="00FE407B">
        <w:tc>
          <w:tcPr>
            <w:tcW w:w="1073" w:type="dxa"/>
            <w:shd w:val="clear" w:color="auto" w:fill="auto"/>
            <w:vAlign w:val="center"/>
          </w:tcPr>
          <w:p w14:paraId="201D7C9B"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Lan.</w:t>
            </w:r>
          </w:p>
        </w:tc>
        <w:tc>
          <w:tcPr>
            <w:tcW w:w="1141" w:type="dxa"/>
            <w:shd w:val="clear" w:color="auto" w:fill="auto"/>
            <w:vAlign w:val="center"/>
          </w:tcPr>
          <w:p w14:paraId="26420B18"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-7.7</w:t>
            </w:r>
          </w:p>
        </w:tc>
        <w:tc>
          <w:tcPr>
            <w:tcW w:w="1269" w:type="dxa"/>
            <w:shd w:val="clear" w:color="auto" w:fill="auto"/>
            <w:vAlign w:val="center"/>
          </w:tcPr>
          <w:p w14:paraId="4EB067D1"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-8.1</w:t>
            </w:r>
          </w:p>
        </w:tc>
        <w:tc>
          <w:tcPr>
            <w:tcW w:w="1110" w:type="dxa"/>
            <w:shd w:val="clear" w:color="auto" w:fill="auto"/>
            <w:vAlign w:val="center"/>
          </w:tcPr>
          <w:p w14:paraId="608B9D6F"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-6.7</w:t>
            </w:r>
          </w:p>
        </w:tc>
        <w:tc>
          <w:tcPr>
            <w:tcW w:w="953" w:type="dxa"/>
            <w:shd w:val="clear" w:color="auto" w:fill="auto"/>
            <w:vAlign w:val="center"/>
          </w:tcPr>
          <w:p w14:paraId="6723835D" w14:textId="77777777" w:rsidR="00FE407B" w:rsidRPr="00925C57" w:rsidRDefault="00FE407B"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-7.1</w:t>
            </w:r>
          </w:p>
        </w:tc>
        <w:tc>
          <w:tcPr>
            <w:tcW w:w="952" w:type="dxa"/>
            <w:shd w:val="clear" w:color="auto" w:fill="auto"/>
            <w:vAlign w:val="center"/>
          </w:tcPr>
          <w:p w14:paraId="58737108" w14:textId="77777777" w:rsidR="00FE407B" w:rsidRPr="00925C57" w:rsidRDefault="00FE407B"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-5.0</w:t>
            </w:r>
          </w:p>
        </w:tc>
        <w:tc>
          <w:tcPr>
            <w:tcW w:w="953" w:type="dxa"/>
            <w:shd w:val="clear" w:color="auto" w:fill="auto"/>
            <w:vAlign w:val="center"/>
          </w:tcPr>
          <w:p w14:paraId="5FC42F79"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-5.3</w:t>
            </w:r>
          </w:p>
        </w:tc>
        <w:tc>
          <w:tcPr>
            <w:tcW w:w="952" w:type="dxa"/>
            <w:shd w:val="clear" w:color="auto" w:fill="auto"/>
            <w:vAlign w:val="center"/>
          </w:tcPr>
          <w:p w14:paraId="045E208F"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-6.5</w:t>
            </w:r>
          </w:p>
        </w:tc>
        <w:tc>
          <w:tcPr>
            <w:tcW w:w="2062" w:type="dxa"/>
            <w:shd w:val="clear" w:color="auto" w:fill="auto"/>
            <w:vAlign w:val="center"/>
          </w:tcPr>
          <w:p w14:paraId="2A13BB22"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-5.2</w:t>
            </w:r>
          </w:p>
        </w:tc>
      </w:tr>
      <w:tr w:rsidR="00FE407B" w:rsidRPr="00925C57" w14:paraId="30F6E159" w14:textId="77777777" w:rsidTr="00FE407B">
        <w:tc>
          <w:tcPr>
            <w:tcW w:w="1073" w:type="dxa"/>
            <w:shd w:val="clear" w:color="auto" w:fill="auto"/>
            <w:vAlign w:val="center"/>
          </w:tcPr>
          <w:p w14:paraId="375D25A4"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L-Arg.</w:t>
            </w:r>
          </w:p>
        </w:tc>
        <w:tc>
          <w:tcPr>
            <w:tcW w:w="1141" w:type="dxa"/>
            <w:shd w:val="clear" w:color="auto" w:fill="auto"/>
            <w:vAlign w:val="center"/>
          </w:tcPr>
          <w:p w14:paraId="0B79D9B3"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-8.0</w:t>
            </w:r>
          </w:p>
        </w:tc>
        <w:tc>
          <w:tcPr>
            <w:tcW w:w="1269" w:type="dxa"/>
            <w:shd w:val="clear" w:color="auto" w:fill="auto"/>
            <w:vAlign w:val="center"/>
          </w:tcPr>
          <w:p w14:paraId="5CA168B0"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-7.1</w:t>
            </w:r>
          </w:p>
        </w:tc>
        <w:tc>
          <w:tcPr>
            <w:tcW w:w="1110" w:type="dxa"/>
            <w:shd w:val="clear" w:color="auto" w:fill="auto"/>
            <w:vAlign w:val="center"/>
          </w:tcPr>
          <w:p w14:paraId="373A1EC6"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-6.5</w:t>
            </w:r>
          </w:p>
        </w:tc>
        <w:tc>
          <w:tcPr>
            <w:tcW w:w="953" w:type="dxa"/>
            <w:shd w:val="clear" w:color="auto" w:fill="auto"/>
            <w:vAlign w:val="center"/>
          </w:tcPr>
          <w:p w14:paraId="4BBB6EEA" w14:textId="77777777" w:rsidR="00FE407B" w:rsidRPr="00925C57" w:rsidRDefault="00FE407B"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-6.4</w:t>
            </w:r>
          </w:p>
        </w:tc>
        <w:tc>
          <w:tcPr>
            <w:tcW w:w="952" w:type="dxa"/>
            <w:shd w:val="clear" w:color="auto" w:fill="auto"/>
            <w:vAlign w:val="center"/>
          </w:tcPr>
          <w:p w14:paraId="709AF0CE" w14:textId="77777777" w:rsidR="00FE407B" w:rsidRPr="00925C57" w:rsidRDefault="00FE407B"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-5.8</w:t>
            </w:r>
          </w:p>
        </w:tc>
        <w:tc>
          <w:tcPr>
            <w:tcW w:w="953" w:type="dxa"/>
            <w:shd w:val="clear" w:color="auto" w:fill="auto"/>
            <w:vAlign w:val="center"/>
          </w:tcPr>
          <w:p w14:paraId="0314FAF6"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-6.4</w:t>
            </w:r>
          </w:p>
        </w:tc>
        <w:tc>
          <w:tcPr>
            <w:tcW w:w="952" w:type="dxa"/>
            <w:shd w:val="clear" w:color="auto" w:fill="auto"/>
            <w:vAlign w:val="center"/>
          </w:tcPr>
          <w:p w14:paraId="56EC670A"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-6.6</w:t>
            </w:r>
          </w:p>
        </w:tc>
        <w:tc>
          <w:tcPr>
            <w:tcW w:w="2062" w:type="dxa"/>
            <w:shd w:val="clear" w:color="auto" w:fill="auto"/>
            <w:vAlign w:val="center"/>
          </w:tcPr>
          <w:p w14:paraId="4639C2E7"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-6.3</w:t>
            </w:r>
          </w:p>
        </w:tc>
      </w:tr>
      <w:tr w:rsidR="00FE407B" w:rsidRPr="00925C57" w14:paraId="614C08FF" w14:textId="77777777" w:rsidTr="00FE407B">
        <w:tc>
          <w:tcPr>
            <w:tcW w:w="1073" w:type="dxa"/>
            <w:shd w:val="clear" w:color="auto" w:fill="auto"/>
            <w:vAlign w:val="center"/>
          </w:tcPr>
          <w:p w14:paraId="0A2FED79"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Bens.</w:t>
            </w:r>
          </w:p>
        </w:tc>
        <w:tc>
          <w:tcPr>
            <w:tcW w:w="1141" w:type="dxa"/>
            <w:shd w:val="clear" w:color="auto" w:fill="auto"/>
            <w:vAlign w:val="center"/>
          </w:tcPr>
          <w:p w14:paraId="6BB60223"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-7.1</w:t>
            </w:r>
          </w:p>
        </w:tc>
        <w:tc>
          <w:tcPr>
            <w:tcW w:w="1269" w:type="dxa"/>
            <w:shd w:val="clear" w:color="auto" w:fill="auto"/>
            <w:vAlign w:val="center"/>
          </w:tcPr>
          <w:p w14:paraId="407CE7FC"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-6.6</w:t>
            </w:r>
          </w:p>
        </w:tc>
        <w:tc>
          <w:tcPr>
            <w:tcW w:w="1110" w:type="dxa"/>
            <w:shd w:val="clear" w:color="auto" w:fill="auto"/>
            <w:vAlign w:val="center"/>
          </w:tcPr>
          <w:p w14:paraId="12DC7E59"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-6.3</w:t>
            </w:r>
          </w:p>
        </w:tc>
        <w:tc>
          <w:tcPr>
            <w:tcW w:w="953" w:type="dxa"/>
            <w:shd w:val="clear" w:color="auto" w:fill="auto"/>
            <w:vAlign w:val="center"/>
          </w:tcPr>
          <w:p w14:paraId="2FE7E0F8" w14:textId="77777777" w:rsidR="00FE407B" w:rsidRPr="00925C57" w:rsidRDefault="00FE407B"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-5.2</w:t>
            </w:r>
          </w:p>
        </w:tc>
        <w:tc>
          <w:tcPr>
            <w:tcW w:w="952" w:type="dxa"/>
            <w:shd w:val="clear" w:color="auto" w:fill="auto"/>
            <w:vAlign w:val="center"/>
          </w:tcPr>
          <w:p w14:paraId="6DAE4C41" w14:textId="77777777" w:rsidR="00FE407B" w:rsidRPr="00925C57" w:rsidRDefault="00FE407B" w:rsidP="00FE407B">
            <w:pPr>
              <w:autoSpaceDE w:val="0"/>
              <w:autoSpaceDN w:val="0"/>
              <w:adjustRightInd w:val="0"/>
              <w:snapToGrid w:val="0"/>
              <w:jc w:val="center"/>
              <w:rPr>
                <w:rFonts w:ascii="Times New Roman" w:hAnsi="Times New Roman" w:cs="Times New Roman"/>
                <w:b/>
                <w:color w:val="000000" w:themeColor="text1"/>
                <w:sz w:val="20"/>
                <w:lang w:val="en-US"/>
              </w:rPr>
            </w:pPr>
            <w:r w:rsidRPr="00925C57">
              <w:rPr>
                <w:rFonts w:ascii="Times New Roman" w:hAnsi="Times New Roman" w:cs="Times New Roman"/>
                <w:b/>
                <w:color w:val="000000" w:themeColor="text1"/>
                <w:sz w:val="20"/>
                <w:lang w:val="en-US"/>
              </w:rPr>
              <w:t>-6.5</w:t>
            </w:r>
          </w:p>
        </w:tc>
        <w:tc>
          <w:tcPr>
            <w:tcW w:w="953" w:type="dxa"/>
            <w:shd w:val="clear" w:color="auto" w:fill="auto"/>
            <w:vAlign w:val="center"/>
          </w:tcPr>
          <w:p w14:paraId="52B0425D"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-6.2</w:t>
            </w:r>
          </w:p>
        </w:tc>
        <w:tc>
          <w:tcPr>
            <w:tcW w:w="952" w:type="dxa"/>
            <w:shd w:val="clear" w:color="auto" w:fill="auto"/>
            <w:vAlign w:val="center"/>
          </w:tcPr>
          <w:p w14:paraId="4EEEC13A"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-6.0</w:t>
            </w:r>
          </w:p>
        </w:tc>
        <w:tc>
          <w:tcPr>
            <w:tcW w:w="2062" w:type="dxa"/>
            <w:shd w:val="clear" w:color="auto" w:fill="auto"/>
            <w:vAlign w:val="center"/>
          </w:tcPr>
          <w:p w14:paraId="3877A6F0"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-6.6</w:t>
            </w:r>
          </w:p>
        </w:tc>
      </w:tr>
    </w:tbl>
    <w:p w14:paraId="473BF8DA" w14:textId="4D091007" w:rsidR="00CB277D" w:rsidRPr="00925C57" w:rsidRDefault="00CB0BE2" w:rsidP="00FE407B">
      <w:pPr>
        <w:pStyle w:val="MDPI43tablefooter"/>
        <w:ind w:left="425" w:right="425"/>
        <w:jc w:val="both"/>
      </w:pPr>
      <w:r w:rsidRPr="00925C57">
        <w:rPr>
          <w:b/>
          <w:vertAlign w:val="superscript"/>
        </w:rPr>
        <w:t>1</w:t>
      </w:r>
      <w:r w:rsidRPr="00925C57">
        <w:t xml:space="preserve">The </w:t>
      </w:r>
      <w:r w:rsidR="00CB277D" w:rsidRPr="00925C57">
        <w:t>best binding energies (kcal/mol) according to AutoDock docking simulations for the drugs Oseltamivir, Zanamivir, Peramivir, Laninamivir, L-Arginine and Benserazide hydrochloride with respect to the wild type as well as single, double and triple R to K mutations of N9 neuraminidase at positions 294, 119, 372. The top values among all studied drugs are shown in bold.</w:t>
      </w:r>
    </w:p>
    <w:p w14:paraId="2FB9CAC6" w14:textId="77777777" w:rsidR="00FE407B" w:rsidRPr="00925C57" w:rsidRDefault="00FE407B" w:rsidP="00FE407B">
      <w:pPr>
        <w:pStyle w:val="MDPI41tablecaption"/>
        <w:ind w:left="425" w:right="425"/>
        <w:jc w:val="center"/>
        <w:rPr>
          <w:color w:val="0070C0"/>
        </w:rPr>
      </w:pPr>
      <w:r w:rsidRPr="00925C57">
        <w:rPr>
          <w:b/>
        </w:rPr>
        <w:t xml:space="preserve">Table 2. </w:t>
      </w:r>
      <w:r w:rsidRPr="00925C57">
        <w:t>ChemPLP scores according to GOLD software</w:t>
      </w:r>
      <w:r w:rsidRPr="00925C57">
        <w:rPr>
          <w:vertAlign w:val="superscript"/>
        </w:rPr>
        <w:t>1.</w:t>
      </w:r>
    </w:p>
    <w:tbl>
      <w:tblPr>
        <w:tblStyle w:val="TableGrid"/>
        <w:tblW w:w="10465"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74"/>
        <w:gridCol w:w="1269"/>
        <w:gridCol w:w="1269"/>
        <w:gridCol w:w="984"/>
        <w:gridCol w:w="952"/>
        <w:gridCol w:w="951"/>
        <w:gridCol w:w="952"/>
        <w:gridCol w:w="951"/>
        <w:gridCol w:w="2063"/>
      </w:tblGrid>
      <w:tr w:rsidR="00FE407B" w:rsidRPr="00925C57" w14:paraId="59559EFA" w14:textId="77777777" w:rsidTr="00FE407B">
        <w:tc>
          <w:tcPr>
            <w:tcW w:w="1074" w:type="dxa"/>
            <w:tcBorders>
              <w:top w:val="single" w:sz="8" w:space="0" w:color="auto"/>
              <w:bottom w:val="single" w:sz="4" w:space="0" w:color="auto"/>
            </w:tcBorders>
            <w:shd w:val="clear" w:color="auto" w:fill="auto"/>
            <w:vAlign w:val="center"/>
          </w:tcPr>
          <w:p w14:paraId="413999CA"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p>
        </w:tc>
        <w:tc>
          <w:tcPr>
            <w:tcW w:w="1269" w:type="dxa"/>
            <w:tcBorders>
              <w:top w:val="single" w:sz="8" w:space="0" w:color="auto"/>
              <w:bottom w:val="single" w:sz="4" w:space="0" w:color="auto"/>
            </w:tcBorders>
            <w:shd w:val="clear" w:color="auto" w:fill="auto"/>
            <w:vAlign w:val="center"/>
          </w:tcPr>
          <w:p w14:paraId="59CDC1DC"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 (4MWQ)</w:t>
            </w:r>
          </w:p>
        </w:tc>
        <w:tc>
          <w:tcPr>
            <w:tcW w:w="1269" w:type="dxa"/>
            <w:tcBorders>
              <w:top w:val="single" w:sz="8" w:space="0" w:color="auto"/>
              <w:bottom w:val="single" w:sz="4" w:space="0" w:color="auto"/>
            </w:tcBorders>
            <w:shd w:val="clear" w:color="auto" w:fill="auto"/>
            <w:vAlign w:val="center"/>
          </w:tcPr>
          <w:p w14:paraId="4592E8D7"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R294K (4MWW)</w:t>
            </w:r>
          </w:p>
        </w:tc>
        <w:tc>
          <w:tcPr>
            <w:tcW w:w="984" w:type="dxa"/>
            <w:tcBorders>
              <w:top w:val="single" w:sz="8" w:space="0" w:color="auto"/>
              <w:bottom w:val="single" w:sz="4" w:space="0" w:color="auto"/>
            </w:tcBorders>
            <w:shd w:val="clear" w:color="auto" w:fill="auto"/>
            <w:vAlign w:val="center"/>
          </w:tcPr>
          <w:p w14:paraId="2FFB6ABB"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R119K</w:t>
            </w:r>
          </w:p>
        </w:tc>
        <w:tc>
          <w:tcPr>
            <w:tcW w:w="952" w:type="dxa"/>
            <w:tcBorders>
              <w:top w:val="single" w:sz="8" w:space="0" w:color="auto"/>
              <w:bottom w:val="single" w:sz="4" w:space="0" w:color="auto"/>
            </w:tcBorders>
            <w:shd w:val="clear" w:color="auto" w:fill="auto"/>
            <w:vAlign w:val="center"/>
          </w:tcPr>
          <w:p w14:paraId="5B3A4D9E"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R372K</w:t>
            </w:r>
          </w:p>
        </w:tc>
        <w:tc>
          <w:tcPr>
            <w:tcW w:w="951" w:type="dxa"/>
            <w:tcBorders>
              <w:top w:val="single" w:sz="8" w:space="0" w:color="auto"/>
              <w:bottom w:val="single" w:sz="4" w:space="0" w:color="auto"/>
            </w:tcBorders>
            <w:shd w:val="clear" w:color="auto" w:fill="auto"/>
            <w:vAlign w:val="center"/>
          </w:tcPr>
          <w:p w14:paraId="66C07D63"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R294_119K</w:t>
            </w:r>
          </w:p>
        </w:tc>
        <w:tc>
          <w:tcPr>
            <w:tcW w:w="952" w:type="dxa"/>
            <w:tcBorders>
              <w:top w:val="single" w:sz="8" w:space="0" w:color="auto"/>
              <w:bottom w:val="single" w:sz="4" w:space="0" w:color="auto"/>
            </w:tcBorders>
            <w:shd w:val="clear" w:color="auto" w:fill="auto"/>
            <w:vAlign w:val="center"/>
          </w:tcPr>
          <w:p w14:paraId="01973AC0"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R294_372K</w:t>
            </w:r>
          </w:p>
        </w:tc>
        <w:tc>
          <w:tcPr>
            <w:tcW w:w="951" w:type="dxa"/>
            <w:tcBorders>
              <w:top w:val="single" w:sz="8" w:space="0" w:color="auto"/>
              <w:bottom w:val="single" w:sz="4" w:space="0" w:color="auto"/>
            </w:tcBorders>
            <w:shd w:val="clear" w:color="auto" w:fill="auto"/>
            <w:vAlign w:val="center"/>
          </w:tcPr>
          <w:p w14:paraId="21B58DED"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R119_372K</w:t>
            </w:r>
          </w:p>
        </w:tc>
        <w:tc>
          <w:tcPr>
            <w:tcW w:w="2063" w:type="dxa"/>
            <w:tcBorders>
              <w:top w:val="single" w:sz="8" w:space="0" w:color="auto"/>
              <w:bottom w:val="single" w:sz="4" w:space="0" w:color="auto"/>
            </w:tcBorders>
            <w:shd w:val="clear" w:color="auto" w:fill="auto"/>
            <w:vAlign w:val="center"/>
          </w:tcPr>
          <w:p w14:paraId="4D127D16"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R294_119_372K</w:t>
            </w:r>
          </w:p>
        </w:tc>
      </w:tr>
      <w:tr w:rsidR="00FE407B" w:rsidRPr="00925C57" w14:paraId="1A6E6243" w14:textId="77777777" w:rsidTr="00FE407B">
        <w:tc>
          <w:tcPr>
            <w:tcW w:w="1074" w:type="dxa"/>
            <w:tcBorders>
              <w:top w:val="single" w:sz="4" w:space="0" w:color="auto"/>
            </w:tcBorders>
            <w:shd w:val="clear" w:color="auto" w:fill="auto"/>
            <w:vAlign w:val="center"/>
          </w:tcPr>
          <w:p w14:paraId="44C0C738"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Oselt.</w:t>
            </w:r>
          </w:p>
        </w:tc>
        <w:tc>
          <w:tcPr>
            <w:tcW w:w="1269" w:type="dxa"/>
            <w:tcBorders>
              <w:top w:val="single" w:sz="4" w:space="0" w:color="auto"/>
            </w:tcBorders>
            <w:shd w:val="clear" w:color="auto" w:fill="auto"/>
            <w:vAlign w:val="center"/>
          </w:tcPr>
          <w:p w14:paraId="32A7867D" w14:textId="77777777" w:rsidR="00FE407B" w:rsidRPr="00925C57" w:rsidRDefault="00FE407B"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72.4</w:t>
            </w:r>
          </w:p>
        </w:tc>
        <w:tc>
          <w:tcPr>
            <w:tcW w:w="1269" w:type="dxa"/>
            <w:tcBorders>
              <w:top w:val="single" w:sz="4" w:space="0" w:color="auto"/>
            </w:tcBorders>
            <w:shd w:val="clear" w:color="auto" w:fill="auto"/>
            <w:vAlign w:val="center"/>
          </w:tcPr>
          <w:p w14:paraId="5FDF2666"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56.9</w:t>
            </w:r>
          </w:p>
        </w:tc>
        <w:tc>
          <w:tcPr>
            <w:tcW w:w="984" w:type="dxa"/>
            <w:tcBorders>
              <w:top w:val="single" w:sz="4" w:space="0" w:color="auto"/>
            </w:tcBorders>
            <w:shd w:val="clear" w:color="auto" w:fill="auto"/>
            <w:vAlign w:val="center"/>
          </w:tcPr>
          <w:p w14:paraId="0ED111B7"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52.0</w:t>
            </w:r>
          </w:p>
        </w:tc>
        <w:tc>
          <w:tcPr>
            <w:tcW w:w="952" w:type="dxa"/>
            <w:tcBorders>
              <w:top w:val="single" w:sz="4" w:space="0" w:color="auto"/>
            </w:tcBorders>
            <w:shd w:val="clear" w:color="auto" w:fill="auto"/>
            <w:vAlign w:val="center"/>
          </w:tcPr>
          <w:p w14:paraId="05A15A39" w14:textId="77777777" w:rsidR="00FE407B" w:rsidRPr="00925C57" w:rsidRDefault="00FE407B" w:rsidP="00FE407B">
            <w:pPr>
              <w:autoSpaceDE w:val="0"/>
              <w:autoSpaceDN w:val="0"/>
              <w:adjustRightInd w:val="0"/>
              <w:snapToGrid w:val="0"/>
              <w:jc w:val="center"/>
              <w:rPr>
                <w:rFonts w:ascii="Times New Roman" w:hAnsi="Times New Roman" w:cs="Times New Roman"/>
                <w:color w:val="0000FF"/>
                <w:sz w:val="20"/>
                <w:lang w:val="en-US"/>
              </w:rPr>
            </w:pPr>
            <w:r w:rsidRPr="00925C57">
              <w:rPr>
                <w:rFonts w:ascii="Times New Roman" w:hAnsi="Times New Roman" w:cs="Times New Roman"/>
                <w:color w:val="000000" w:themeColor="text1"/>
                <w:sz w:val="20"/>
                <w:lang w:val="en-US"/>
              </w:rPr>
              <w:t>43.8</w:t>
            </w:r>
          </w:p>
        </w:tc>
        <w:tc>
          <w:tcPr>
            <w:tcW w:w="951" w:type="dxa"/>
            <w:tcBorders>
              <w:top w:val="single" w:sz="4" w:space="0" w:color="auto"/>
            </w:tcBorders>
            <w:shd w:val="clear" w:color="auto" w:fill="auto"/>
            <w:vAlign w:val="center"/>
          </w:tcPr>
          <w:p w14:paraId="1A0EEDCA"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44.1</w:t>
            </w:r>
          </w:p>
        </w:tc>
        <w:tc>
          <w:tcPr>
            <w:tcW w:w="952" w:type="dxa"/>
            <w:tcBorders>
              <w:top w:val="single" w:sz="4" w:space="0" w:color="auto"/>
            </w:tcBorders>
            <w:shd w:val="clear" w:color="auto" w:fill="auto"/>
            <w:vAlign w:val="center"/>
          </w:tcPr>
          <w:p w14:paraId="49C510E2"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45.2</w:t>
            </w:r>
          </w:p>
        </w:tc>
        <w:tc>
          <w:tcPr>
            <w:tcW w:w="951" w:type="dxa"/>
            <w:tcBorders>
              <w:top w:val="single" w:sz="4" w:space="0" w:color="auto"/>
            </w:tcBorders>
            <w:shd w:val="clear" w:color="auto" w:fill="auto"/>
            <w:vAlign w:val="center"/>
          </w:tcPr>
          <w:p w14:paraId="28259847"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53.6</w:t>
            </w:r>
          </w:p>
        </w:tc>
        <w:tc>
          <w:tcPr>
            <w:tcW w:w="2063" w:type="dxa"/>
            <w:tcBorders>
              <w:top w:val="single" w:sz="4" w:space="0" w:color="auto"/>
            </w:tcBorders>
            <w:shd w:val="clear" w:color="auto" w:fill="auto"/>
            <w:vAlign w:val="center"/>
          </w:tcPr>
          <w:p w14:paraId="454F9E08"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47.1</w:t>
            </w:r>
          </w:p>
        </w:tc>
      </w:tr>
      <w:tr w:rsidR="00FE407B" w:rsidRPr="00925C57" w14:paraId="05232AD4" w14:textId="77777777" w:rsidTr="00FE407B">
        <w:tc>
          <w:tcPr>
            <w:tcW w:w="1074" w:type="dxa"/>
            <w:shd w:val="clear" w:color="auto" w:fill="auto"/>
            <w:vAlign w:val="center"/>
          </w:tcPr>
          <w:p w14:paraId="17BC7783"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Zan.</w:t>
            </w:r>
          </w:p>
        </w:tc>
        <w:tc>
          <w:tcPr>
            <w:tcW w:w="1269" w:type="dxa"/>
            <w:shd w:val="clear" w:color="auto" w:fill="auto"/>
            <w:vAlign w:val="center"/>
          </w:tcPr>
          <w:p w14:paraId="3441A7E5" w14:textId="77777777" w:rsidR="00FE407B" w:rsidRPr="00925C57" w:rsidRDefault="00FE407B"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89.3</w:t>
            </w:r>
          </w:p>
        </w:tc>
        <w:tc>
          <w:tcPr>
            <w:tcW w:w="1269" w:type="dxa"/>
            <w:shd w:val="clear" w:color="auto" w:fill="auto"/>
            <w:vAlign w:val="center"/>
          </w:tcPr>
          <w:p w14:paraId="55D2C4B9"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75.2</w:t>
            </w:r>
          </w:p>
        </w:tc>
        <w:tc>
          <w:tcPr>
            <w:tcW w:w="984" w:type="dxa"/>
            <w:shd w:val="clear" w:color="auto" w:fill="auto"/>
            <w:vAlign w:val="center"/>
          </w:tcPr>
          <w:p w14:paraId="11D1C075"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51.7</w:t>
            </w:r>
          </w:p>
        </w:tc>
        <w:tc>
          <w:tcPr>
            <w:tcW w:w="952" w:type="dxa"/>
            <w:shd w:val="clear" w:color="auto" w:fill="auto"/>
            <w:vAlign w:val="center"/>
          </w:tcPr>
          <w:p w14:paraId="36D0F46A"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52.1</w:t>
            </w:r>
          </w:p>
        </w:tc>
        <w:tc>
          <w:tcPr>
            <w:tcW w:w="951" w:type="dxa"/>
            <w:shd w:val="clear" w:color="auto" w:fill="auto"/>
            <w:vAlign w:val="center"/>
          </w:tcPr>
          <w:p w14:paraId="093D4AEC"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53.2</w:t>
            </w:r>
          </w:p>
        </w:tc>
        <w:tc>
          <w:tcPr>
            <w:tcW w:w="952" w:type="dxa"/>
            <w:shd w:val="clear" w:color="auto" w:fill="auto"/>
            <w:vAlign w:val="center"/>
          </w:tcPr>
          <w:p w14:paraId="0F6FECFF"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60.4</w:t>
            </w:r>
          </w:p>
        </w:tc>
        <w:tc>
          <w:tcPr>
            <w:tcW w:w="951" w:type="dxa"/>
            <w:shd w:val="clear" w:color="auto" w:fill="auto"/>
            <w:vAlign w:val="center"/>
          </w:tcPr>
          <w:p w14:paraId="53E39B06"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52.3</w:t>
            </w:r>
          </w:p>
        </w:tc>
        <w:tc>
          <w:tcPr>
            <w:tcW w:w="2063" w:type="dxa"/>
            <w:shd w:val="clear" w:color="auto" w:fill="auto"/>
            <w:vAlign w:val="center"/>
          </w:tcPr>
          <w:p w14:paraId="5DBF0B59" w14:textId="77777777" w:rsidR="00FE407B" w:rsidRPr="00925C57" w:rsidRDefault="00FE407B"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45.0</w:t>
            </w:r>
          </w:p>
        </w:tc>
      </w:tr>
      <w:tr w:rsidR="00FE407B" w:rsidRPr="00925C57" w14:paraId="4EE3114F" w14:textId="77777777" w:rsidTr="00FE407B">
        <w:tc>
          <w:tcPr>
            <w:tcW w:w="1074" w:type="dxa"/>
            <w:shd w:val="clear" w:color="auto" w:fill="auto"/>
            <w:vAlign w:val="center"/>
          </w:tcPr>
          <w:p w14:paraId="312EC429"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Per.</w:t>
            </w:r>
          </w:p>
        </w:tc>
        <w:tc>
          <w:tcPr>
            <w:tcW w:w="1269" w:type="dxa"/>
            <w:shd w:val="clear" w:color="auto" w:fill="auto"/>
            <w:vAlign w:val="center"/>
          </w:tcPr>
          <w:p w14:paraId="6A2814C3"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93.9</w:t>
            </w:r>
          </w:p>
        </w:tc>
        <w:tc>
          <w:tcPr>
            <w:tcW w:w="1269" w:type="dxa"/>
            <w:shd w:val="clear" w:color="auto" w:fill="auto"/>
            <w:vAlign w:val="center"/>
          </w:tcPr>
          <w:p w14:paraId="1EB15BB4"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79.0</w:t>
            </w:r>
          </w:p>
        </w:tc>
        <w:tc>
          <w:tcPr>
            <w:tcW w:w="984" w:type="dxa"/>
            <w:shd w:val="clear" w:color="auto" w:fill="auto"/>
            <w:vAlign w:val="center"/>
          </w:tcPr>
          <w:p w14:paraId="1517BA39"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60.0</w:t>
            </w:r>
          </w:p>
        </w:tc>
        <w:tc>
          <w:tcPr>
            <w:tcW w:w="952" w:type="dxa"/>
            <w:shd w:val="clear" w:color="auto" w:fill="auto"/>
            <w:vAlign w:val="center"/>
          </w:tcPr>
          <w:p w14:paraId="4A4FC82A"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50.0</w:t>
            </w:r>
          </w:p>
        </w:tc>
        <w:tc>
          <w:tcPr>
            <w:tcW w:w="951" w:type="dxa"/>
            <w:shd w:val="clear" w:color="auto" w:fill="auto"/>
            <w:vAlign w:val="center"/>
          </w:tcPr>
          <w:p w14:paraId="71BEDA95" w14:textId="77777777" w:rsidR="00FE407B" w:rsidRPr="00925C57" w:rsidRDefault="00FE407B" w:rsidP="00FE407B">
            <w:pPr>
              <w:autoSpaceDE w:val="0"/>
              <w:autoSpaceDN w:val="0"/>
              <w:adjustRightInd w:val="0"/>
              <w:snapToGrid w:val="0"/>
              <w:jc w:val="center"/>
              <w:rPr>
                <w:rFonts w:ascii="Times New Roman" w:hAnsi="Times New Roman" w:cs="Times New Roman"/>
                <w:b/>
                <w:color w:val="FF0000"/>
                <w:sz w:val="20"/>
                <w:lang w:val="en-US"/>
              </w:rPr>
            </w:pPr>
            <w:r w:rsidRPr="00925C57">
              <w:rPr>
                <w:rFonts w:ascii="Times New Roman" w:hAnsi="Times New Roman" w:cs="Times New Roman"/>
                <w:b/>
                <w:sz w:val="20"/>
                <w:lang w:val="en-US"/>
              </w:rPr>
              <w:t>53.2</w:t>
            </w:r>
          </w:p>
        </w:tc>
        <w:tc>
          <w:tcPr>
            <w:tcW w:w="952" w:type="dxa"/>
            <w:shd w:val="clear" w:color="auto" w:fill="auto"/>
            <w:vAlign w:val="center"/>
          </w:tcPr>
          <w:p w14:paraId="41D4727A"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49.1</w:t>
            </w:r>
          </w:p>
        </w:tc>
        <w:tc>
          <w:tcPr>
            <w:tcW w:w="951" w:type="dxa"/>
            <w:shd w:val="clear" w:color="auto" w:fill="auto"/>
            <w:vAlign w:val="center"/>
          </w:tcPr>
          <w:p w14:paraId="0E387EFA"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58.3</w:t>
            </w:r>
          </w:p>
        </w:tc>
        <w:tc>
          <w:tcPr>
            <w:tcW w:w="2063" w:type="dxa"/>
            <w:shd w:val="clear" w:color="auto" w:fill="auto"/>
            <w:vAlign w:val="center"/>
          </w:tcPr>
          <w:p w14:paraId="286BE954" w14:textId="77777777" w:rsidR="00FE407B" w:rsidRPr="00925C57" w:rsidRDefault="00FE407B"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46.8</w:t>
            </w:r>
          </w:p>
        </w:tc>
      </w:tr>
      <w:tr w:rsidR="00FE407B" w:rsidRPr="00925C57" w14:paraId="1DB47AF9" w14:textId="77777777" w:rsidTr="00FE407B">
        <w:tc>
          <w:tcPr>
            <w:tcW w:w="1074" w:type="dxa"/>
            <w:shd w:val="clear" w:color="auto" w:fill="auto"/>
            <w:vAlign w:val="center"/>
          </w:tcPr>
          <w:p w14:paraId="781BDCB6"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Lan.</w:t>
            </w:r>
          </w:p>
        </w:tc>
        <w:tc>
          <w:tcPr>
            <w:tcW w:w="1269" w:type="dxa"/>
            <w:shd w:val="clear" w:color="auto" w:fill="auto"/>
            <w:vAlign w:val="center"/>
          </w:tcPr>
          <w:p w14:paraId="5FEF2A3A"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86.9</w:t>
            </w:r>
          </w:p>
        </w:tc>
        <w:tc>
          <w:tcPr>
            <w:tcW w:w="1269" w:type="dxa"/>
            <w:shd w:val="clear" w:color="auto" w:fill="auto"/>
            <w:vAlign w:val="center"/>
          </w:tcPr>
          <w:p w14:paraId="7533D380"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77.1</w:t>
            </w:r>
          </w:p>
        </w:tc>
        <w:tc>
          <w:tcPr>
            <w:tcW w:w="984" w:type="dxa"/>
            <w:shd w:val="clear" w:color="auto" w:fill="auto"/>
            <w:vAlign w:val="center"/>
          </w:tcPr>
          <w:p w14:paraId="6045CCEF"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54.9</w:t>
            </w:r>
          </w:p>
        </w:tc>
        <w:tc>
          <w:tcPr>
            <w:tcW w:w="952" w:type="dxa"/>
            <w:shd w:val="clear" w:color="auto" w:fill="auto"/>
            <w:vAlign w:val="center"/>
          </w:tcPr>
          <w:p w14:paraId="70D3DB57"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51.3</w:t>
            </w:r>
          </w:p>
        </w:tc>
        <w:tc>
          <w:tcPr>
            <w:tcW w:w="951" w:type="dxa"/>
            <w:shd w:val="clear" w:color="auto" w:fill="auto"/>
            <w:vAlign w:val="center"/>
          </w:tcPr>
          <w:p w14:paraId="0A9295BD"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46.7</w:t>
            </w:r>
          </w:p>
        </w:tc>
        <w:tc>
          <w:tcPr>
            <w:tcW w:w="952" w:type="dxa"/>
            <w:shd w:val="clear" w:color="auto" w:fill="auto"/>
            <w:vAlign w:val="center"/>
          </w:tcPr>
          <w:p w14:paraId="34873453"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55.5</w:t>
            </w:r>
          </w:p>
        </w:tc>
        <w:tc>
          <w:tcPr>
            <w:tcW w:w="951" w:type="dxa"/>
            <w:shd w:val="clear" w:color="auto" w:fill="auto"/>
            <w:vAlign w:val="center"/>
          </w:tcPr>
          <w:p w14:paraId="41EF24A0"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57.1</w:t>
            </w:r>
          </w:p>
        </w:tc>
        <w:tc>
          <w:tcPr>
            <w:tcW w:w="2063" w:type="dxa"/>
            <w:shd w:val="clear" w:color="auto" w:fill="auto"/>
            <w:vAlign w:val="center"/>
          </w:tcPr>
          <w:p w14:paraId="0E5CEB1D"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47.9</w:t>
            </w:r>
          </w:p>
        </w:tc>
      </w:tr>
      <w:tr w:rsidR="00FE407B" w:rsidRPr="00925C57" w14:paraId="34C0958F" w14:textId="77777777" w:rsidTr="00FE407B">
        <w:tc>
          <w:tcPr>
            <w:tcW w:w="1074" w:type="dxa"/>
            <w:shd w:val="clear" w:color="auto" w:fill="auto"/>
            <w:vAlign w:val="center"/>
          </w:tcPr>
          <w:p w14:paraId="2FDE6837"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L-Arg.</w:t>
            </w:r>
          </w:p>
        </w:tc>
        <w:tc>
          <w:tcPr>
            <w:tcW w:w="1269" w:type="dxa"/>
            <w:shd w:val="clear" w:color="auto" w:fill="auto"/>
            <w:vAlign w:val="center"/>
          </w:tcPr>
          <w:p w14:paraId="0250E3F2"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46.8</w:t>
            </w:r>
          </w:p>
        </w:tc>
        <w:tc>
          <w:tcPr>
            <w:tcW w:w="1269" w:type="dxa"/>
            <w:shd w:val="clear" w:color="auto" w:fill="auto"/>
            <w:vAlign w:val="center"/>
          </w:tcPr>
          <w:p w14:paraId="744565D8"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45.3</w:t>
            </w:r>
          </w:p>
        </w:tc>
        <w:tc>
          <w:tcPr>
            <w:tcW w:w="984" w:type="dxa"/>
            <w:shd w:val="clear" w:color="auto" w:fill="auto"/>
            <w:vAlign w:val="center"/>
          </w:tcPr>
          <w:p w14:paraId="256112BF"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41.5</w:t>
            </w:r>
          </w:p>
        </w:tc>
        <w:tc>
          <w:tcPr>
            <w:tcW w:w="952" w:type="dxa"/>
            <w:shd w:val="clear" w:color="auto" w:fill="auto"/>
            <w:vAlign w:val="center"/>
          </w:tcPr>
          <w:p w14:paraId="1818FCEF"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34.8</w:t>
            </w:r>
          </w:p>
        </w:tc>
        <w:tc>
          <w:tcPr>
            <w:tcW w:w="951" w:type="dxa"/>
            <w:shd w:val="clear" w:color="auto" w:fill="auto"/>
            <w:vAlign w:val="center"/>
          </w:tcPr>
          <w:p w14:paraId="11AC249C"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41.0</w:t>
            </w:r>
          </w:p>
        </w:tc>
        <w:tc>
          <w:tcPr>
            <w:tcW w:w="952" w:type="dxa"/>
            <w:shd w:val="clear" w:color="auto" w:fill="auto"/>
            <w:vAlign w:val="center"/>
          </w:tcPr>
          <w:p w14:paraId="1405289A"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41.5</w:t>
            </w:r>
          </w:p>
        </w:tc>
        <w:tc>
          <w:tcPr>
            <w:tcW w:w="951" w:type="dxa"/>
            <w:shd w:val="clear" w:color="auto" w:fill="auto"/>
            <w:vAlign w:val="center"/>
          </w:tcPr>
          <w:p w14:paraId="24F34AB4"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42.0</w:t>
            </w:r>
          </w:p>
        </w:tc>
        <w:tc>
          <w:tcPr>
            <w:tcW w:w="2063" w:type="dxa"/>
            <w:shd w:val="clear" w:color="auto" w:fill="auto"/>
            <w:vAlign w:val="center"/>
          </w:tcPr>
          <w:p w14:paraId="24859C0E"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40.0</w:t>
            </w:r>
          </w:p>
        </w:tc>
      </w:tr>
      <w:tr w:rsidR="00FE407B" w:rsidRPr="00925C57" w14:paraId="75F785E6" w14:textId="77777777" w:rsidTr="00FE407B">
        <w:tc>
          <w:tcPr>
            <w:tcW w:w="1074" w:type="dxa"/>
            <w:shd w:val="clear" w:color="auto" w:fill="auto"/>
            <w:vAlign w:val="center"/>
          </w:tcPr>
          <w:p w14:paraId="5B366BEF"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Bens.</w:t>
            </w:r>
          </w:p>
        </w:tc>
        <w:tc>
          <w:tcPr>
            <w:tcW w:w="1269" w:type="dxa"/>
            <w:shd w:val="clear" w:color="auto" w:fill="auto"/>
            <w:vAlign w:val="center"/>
          </w:tcPr>
          <w:p w14:paraId="51D7999F"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57.8</w:t>
            </w:r>
          </w:p>
        </w:tc>
        <w:tc>
          <w:tcPr>
            <w:tcW w:w="1269" w:type="dxa"/>
            <w:shd w:val="clear" w:color="auto" w:fill="auto"/>
            <w:vAlign w:val="center"/>
          </w:tcPr>
          <w:p w14:paraId="572D54E2"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53.3</w:t>
            </w:r>
          </w:p>
        </w:tc>
        <w:tc>
          <w:tcPr>
            <w:tcW w:w="984" w:type="dxa"/>
            <w:shd w:val="clear" w:color="auto" w:fill="auto"/>
            <w:vAlign w:val="center"/>
          </w:tcPr>
          <w:p w14:paraId="011E4011"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49.0</w:t>
            </w:r>
          </w:p>
        </w:tc>
        <w:tc>
          <w:tcPr>
            <w:tcW w:w="952" w:type="dxa"/>
            <w:shd w:val="clear" w:color="auto" w:fill="auto"/>
            <w:vAlign w:val="center"/>
          </w:tcPr>
          <w:p w14:paraId="008C771D"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48.1</w:t>
            </w:r>
          </w:p>
        </w:tc>
        <w:tc>
          <w:tcPr>
            <w:tcW w:w="951" w:type="dxa"/>
            <w:shd w:val="clear" w:color="auto" w:fill="auto"/>
            <w:vAlign w:val="center"/>
          </w:tcPr>
          <w:p w14:paraId="27C24A16"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51.8</w:t>
            </w:r>
          </w:p>
        </w:tc>
        <w:tc>
          <w:tcPr>
            <w:tcW w:w="952" w:type="dxa"/>
            <w:shd w:val="clear" w:color="auto" w:fill="auto"/>
            <w:vAlign w:val="center"/>
          </w:tcPr>
          <w:p w14:paraId="63A0F5F5"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49.8</w:t>
            </w:r>
          </w:p>
        </w:tc>
        <w:tc>
          <w:tcPr>
            <w:tcW w:w="951" w:type="dxa"/>
            <w:shd w:val="clear" w:color="auto" w:fill="auto"/>
            <w:vAlign w:val="center"/>
          </w:tcPr>
          <w:p w14:paraId="31089FE5" w14:textId="77777777" w:rsidR="00FE407B" w:rsidRPr="00925C57" w:rsidRDefault="00FE407B"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56.9</w:t>
            </w:r>
          </w:p>
        </w:tc>
        <w:tc>
          <w:tcPr>
            <w:tcW w:w="2063" w:type="dxa"/>
            <w:shd w:val="clear" w:color="auto" w:fill="auto"/>
            <w:vAlign w:val="center"/>
          </w:tcPr>
          <w:p w14:paraId="32EAD4EE" w14:textId="77777777" w:rsidR="00FE407B" w:rsidRPr="00925C57" w:rsidRDefault="00FE407B"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55.5</w:t>
            </w:r>
          </w:p>
        </w:tc>
      </w:tr>
    </w:tbl>
    <w:p w14:paraId="2A979037" w14:textId="1C4559FF" w:rsidR="00CB277D" w:rsidRPr="00925C57" w:rsidRDefault="00CB0BE2" w:rsidP="00FE407B">
      <w:pPr>
        <w:pStyle w:val="MDPI43tablefooter"/>
        <w:ind w:left="425" w:right="425"/>
        <w:jc w:val="both"/>
      </w:pPr>
      <w:r w:rsidRPr="00925C57">
        <w:rPr>
          <w:b/>
          <w:vertAlign w:val="superscript"/>
        </w:rPr>
        <w:lastRenderedPageBreak/>
        <w:t>1</w:t>
      </w:r>
      <w:r w:rsidR="0026545C" w:rsidRPr="00925C57">
        <w:t xml:space="preserve">The highest values of ChemPLP score according to GOLD </w:t>
      </w:r>
      <w:r w:rsidR="002F3541" w:rsidRPr="00925C57">
        <w:t>docking protocol for the drugs Oseltamivir, Z</w:t>
      </w:r>
      <w:r w:rsidR="0026545C" w:rsidRPr="00925C57">
        <w:t>ana</w:t>
      </w:r>
      <w:r w:rsidR="002F3541" w:rsidRPr="00925C57">
        <w:t>mivir, P</w:t>
      </w:r>
      <w:r w:rsidR="0026545C" w:rsidRPr="00925C57">
        <w:t>er</w:t>
      </w:r>
      <w:r w:rsidR="002F3541" w:rsidRPr="00925C57">
        <w:t>amivir, L</w:t>
      </w:r>
      <w:r w:rsidR="0026545C" w:rsidRPr="00925C57">
        <w:t>aninamivir, L-Arginine and Benserazide hydrochloride with respect to the wild type as well as single, double and triple R to K mutations of N9 neuraminidase at positions 294, 119, 372. The top scores are shown in bold.</w:t>
      </w:r>
    </w:p>
    <w:p w14:paraId="13C28B31" w14:textId="5A1F8DA8" w:rsidR="00DA15CC" w:rsidRPr="00925C57" w:rsidRDefault="00FE407B" w:rsidP="00FE407B">
      <w:pPr>
        <w:pStyle w:val="MDPI41tablecaption"/>
        <w:ind w:left="425" w:right="425"/>
        <w:jc w:val="center"/>
        <w:rPr>
          <w:color w:val="0070C0"/>
        </w:rPr>
      </w:pPr>
      <w:r w:rsidRPr="00925C57">
        <w:rPr>
          <w:b/>
        </w:rPr>
        <w:t xml:space="preserve">Table 3. </w:t>
      </w:r>
      <w:r w:rsidR="00DA15CC" w:rsidRPr="00925C57">
        <w:t>The S scores according to MOE software</w:t>
      </w:r>
      <w:r w:rsidR="00DA15CC" w:rsidRPr="00925C57">
        <w:rPr>
          <w:vertAlign w:val="superscript"/>
        </w:rPr>
        <w:t>1</w:t>
      </w:r>
      <w:r w:rsidRPr="00925C57">
        <w:rPr>
          <w:vertAlign w:val="superscript"/>
        </w:rPr>
        <w:t>.</w:t>
      </w:r>
    </w:p>
    <w:tbl>
      <w:tblPr>
        <w:tblStyle w:val="TableGrid"/>
        <w:tblW w:w="10465"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60"/>
        <w:gridCol w:w="1254"/>
        <w:gridCol w:w="1254"/>
        <w:gridCol w:w="972"/>
        <w:gridCol w:w="1066"/>
        <w:gridCol w:w="940"/>
        <w:gridCol w:w="941"/>
        <w:gridCol w:w="940"/>
        <w:gridCol w:w="2038"/>
      </w:tblGrid>
      <w:tr w:rsidR="00FE407B" w:rsidRPr="00925C57" w14:paraId="51F3CF6D" w14:textId="77777777" w:rsidTr="00FE407B">
        <w:tc>
          <w:tcPr>
            <w:tcW w:w="959" w:type="dxa"/>
            <w:tcBorders>
              <w:top w:val="single" w:sz="8" w:space="0" w:color="auto"/>
              <w:bottom w:val="single" w:sz="4" w:space="0" w:color="auto"/>
            </w:tcBorders>
            <w:shd w:val="clear" w:color="auto" w:fill="auto"/>
            <w:vAlign w:val="center"/>
          </w:tcPr>
          <w:p w14:paraId="43399708"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p>
        </w:tc>
        <w:tc>
          <w:tcPr>
            <w:tcW w:w="1134" w:type="dxa"/>
            <w:tcBorders>
              <w:top w:val="single" w:sz="8" w:space="0" w:color="auto"/>
              <w:bottom w:val="single" w:sz="4" w:space="0" w:color="auto"/>
            </w:tcBorders>
            <w:shd w:val="clear" w:color="auto" w:fill="auto"/>
            <w:vAlign w:val="center"/>
          </w:tcPr>
          <w:p w14:paraId="1363D9BD"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 (4MWQ)</w:t>
            </w:r>
          </w:p>
        </w:tc>
        <w:tc>
          <w:tcPr>
            <w:tcW w:w="1134" w:type="dxa"/>
            <w:tcBorders>
              <w:top w:val="single" w:sz="8" w:space="0" w:color="auto"/>
              <w:bottom w:val="single" w:sz="4" w:space="0" w:color="auto"/>
            </w:tcBorders>
            <w:shd w:val="clear" w:color="auto" w:fill="auto"/>
            <w:vAlign w:val="center"/>
          </w:tcPr>
          <w:p w14:paraId="78A4D43D"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R294K (4MWW)</w:t>
            </w:r>
          </w:p>
        </w:tc>
        <w:tc>
          <w:tcPr>
            <w:tcW w:w="879" w:type="dxa"/>
            <w:tcBorders>
              <w:top w:val="single" w:sz="8" w:space="0" w:color="auto"/>
              <w:bottom w:val="single" w:sz="4" w:space="0" w:color="auto"/>
            </w:tcBorders>
            <w:shd w:val="clear" w:color="auto" w:fill="auto"/>
            <w:vAlign w:val="center"/>
          </w:tcPr>
          <w:p w14:paraId="666F2B48"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R119K</w:t>
            </w:r>
          </w:p>
        </w:tc>
        <w:tc>
          <w:tcPr>
            <w:tcW w:w="964" w:type="dxa"/>
            <w:tcBorders>
              <w:top w:val="single" w:sz="8" w:space="0" w:color="auto"/>
              <w:bottom w:val="single" w:sz="4" w:space="0" w:color="auto"/>
            </w:tcBorders>
            <w:shd w:val="clear" w:color="auto" w:fill="auto"/>
            <w:vAlign w:val="center"/>
          </w:tcPr>
          <w:p w14:paraId="51DC646A"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R372K</w:t>
            </w:r>
          </w:p>
        </w:tc>
        <w:tc>
          <w:tcPr>
            <w:tcW w:w="850" w:type="dxa"/>
            <w:tcBorders>
              <w:top w:val="single" w:sz="8" w:space="0" w:color="auto"/>
              <w:bottom w:val="single" w:sz="4" w:space="0" w:color="auto"/>
            </w:tcBorders>
            <w:shd w:val="clear" w:color="auto" w:fill="auto"/>
            <w:vAlign w:val="center"/>
          </w:tcPr>
          <w:p w14:paraId="0F0508A2"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R294_119K</w:t>
            </w:r>
          </w:p>
        </w:tc>
        <w:tc>
          <w:tcPr>
            <w:tcW w:w="851" w:type="dxa"/>
            <w:tcBorders>
              <w:top w:val="single" w:sz="8" w:space="0" w:color="auto"/>
              <w:bottom w:val="single" w:sz="4" w:space="0" w:color="auto"/>
            </w:tcBorders>
            <w:shd w:val="clear" w:color="auto" w:fill="auto"/>
            <w:vAlign w:val="center"/>
          </w:tcPr>
          <w:p w14:paraId="4F28E553"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R294_372K</w:t>
            </w:r>
          </w:p>
        </w:tc>
        <w:tc>
          <w:tcPr>
            <w:tcW w:w="850" w:type="dxa"/>
            <w:tcBorders>
              <w:top w:val="single" w:sz="8" w:space="0" w:color="auto"/>
              <w:bottom w:val="single" w:sz="4" w:space="0" w:color="auto"/>
            </w:tcBorders>
            <w:shd w:val="clear" w:color="auto" w:fill="auto"/>
            <w:vAlign w:val="center"/>
          </w:tcPr>
          <w:p w14:paraId="6EF27D03"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R119_372K</w:t>
            </w:r>
          </w:p>
        </w:tc>
        <w:tc>
          <w:tcPr>
            <w:tcW w:w="1843" w:type="dxa"/>
            <w:tcBorders>
              <w:top w:val="single" w:sz="8" w:space="0" w:color="auto"/>
              <w:bottom w:val="single" w:sz="4" w:space="0" w:color="auto"/>
            </w:tcBorders>
            <w:shd w:val="clear" w:color="auto" w:fill="auto"/>
            <w:vAlign w:val="center"/>
          </w:tcPr>
          <w:p w14:paraId="67B2D074"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R294_119_372K</w:t>
            </w:r>
          </w:p>
        </w:tc>
      </w:tr>
      <w:tr w:rsidR="00FE407B" w:rsidRPr="00925C57" w14:paraId="798613F0" w14:textId="77777777" w:rsidTr="00FE407B">
        <w:tc>
          <w:tcPr>
            <w:tcW w:w="959" w:type="dxa"/>
            <w:tcBorders>
              <w:top w:val="single" w:sz="4" w:space="0" w:color="auto"/>
            </w:tcBorders>
            <w:shd w:val="clear" w:color="auto" w:fill="auto"/>
            <w:vAlign w:val="center"/>
          </w:tcPr>
          <w:p w14:paraId="116967E9"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Oselt.</w:t>
            </w:r>
          </w:p>
        </w:tc>
        <w:tc>
          <w:tcPr>
            <w:tcW w:w="1134" w:type="dxa"/>
            <w:tcBorders>
              <w:top w:val="single" w:sz="4" w:space="0" w:color="auto"/>
            </w:tcBorders>
            <w:shd w:val="clear" w:color="auto" w:fill="auto"/>
            <w:vAlign w:val="center"/>
          </w:tcPr>
          <w:p w14:paraId="13C40AEC" w14:textId="77777777" w:rsidR="0026545C" w:rsidRPr="00925C57" w:rsidRDefault="0026545C"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-6.0</w:t>
            </w:r>
          </w:p>
        </w:tc>
        <w:tc>
          <w:tcPr>
            <w:tcW w:w="1134" w:type="dxa"/>
            <w:tcBorders>
              <w:top w:val="single" w:sz="4" w:space="0" w:color="auto"/>
            </w:tcBorders>
            <w:shd w:val="clear" w:color="auto" w:fill="auto"/>
            <w:vAlign w:val="center"/>
          </w:tcPr>
          <w:p w14:paraId="62E3B8D4"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-5.1</w:t>
            </w:r>
          </w:p>
        </w:tc>
        <w:tc>
          <w:tcPr>
            <w:tcW w:w="879" w:type="dxa"/>
            <w:tcBorders>
              <w:top w:val="single" w:sz="4" w:space="0" w:color="auto"/>
            </w:tcBorders>
            <w:shd w:val="clear" w:color="auto" w:fill="auto"/>
            <w:vAlign w:val="center"/>
          </w:tcPr>
          <w:p w14:paraId="55368697"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-5.3</w:t>
            </w:r>
          </w:p>
        </w:tc>
        <w:tc>
          <w:tcPr>
            <w:tcW w:w="964" w:type="dxa"/>
            <w:tcBorders>
              <w:top w:val="single" w:sz="4" w:space="0" w:color="auto"/>
            </w:tcBorders>
            <w:shd w:val="clear" w:color="auto" w:fill="auto"/>
            <w:vAlign w:val="center"/>
          </w:tcPr>
          <w:p w14:paraId="27D62613" w14:textId="77777777" w:rsidR="0026545C" w:rsidRPr="00925C57" w:rsidRDefault="0026545C" w:rsidP="00FE407B">
            <w:pPr>
              <w:autoSpaceDE w:val="0"/>
              <w:autoSpaceDN w:val="0"/>
              <w:adjustRightInd w:val="0"/>
              <w:snapToGrid w:val="0"/>
              <w:jc w:val="center"/>
              <w:rPr>
                <w:rFonts w:ascii="Times New Roman" w:hAnsi="Times New Roman" w:cs="Times New Roman"/>
                <w:color w:val="0000FF"/>
                <w:sz w:val="20"/>
                <w:lang w:val="en-US"/>
              </w:rPr>
            </w:pPr>
            <w:r w:rsidRPr="00925C57">
              <w:rPr>
                <w:rFonts w:ascii="Times New Roman" w:hAnsi="Times New Roman" w:cs="Times New Roman"/>
                <w:sz w:val="20"/>
                <w:lang w:val="en-US"/>
              </w:rPr>
              <w:t>-5.2</w:t>
            </w:r>
          </w:p>
        </w:tc>
        <w:tc>
          <w:tcPr>
            <w:tcW w:w="850" w:type="dxa"/>
            <w:tcBorders>
              <w:top w:val="single" w:sz="4" w:space="0" w:color="auto"/>
            </w:tcBorders>
            <w:shd w:val="clear" w:color="auto" w:fill="auto"/>
            <w:vAlign w:val="center"/>
          </w:tcPr>
          <w:p w14:paraId="5D7F6ADC"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-4.9</w:t>
            </w:r>
          </w:p>
        </w:tc>
        <w:tc>
          <w:tcPr>
            <w:tcW w:w="851" w:type="dxa"/>
            <w:tcBorders>
              <w:top w:val="single" w:sz="4" w:space="0" w:color="auto"/>
            </w:tcBorders>
            <w:shd w:val="clear" w:color="auto" w:fill="auto"/>
            <w:vAlign w:val="center"/>
          </w:tcPr>
          <w:p w14:paraId="7C337075"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-5.2</w:t>
            </w:r>
          </w:p>
        </w:tc>
        <w:tc>
          <w:tcPr>
            <w:tcW w:w="850" w:type="dxa"/>
            <w:tcBorders>
              <w:top w:val="single" w:sz="4" w:space="0" w:color="auto"/>
            </w:tcBorders>
            <w:shd w:val="clear" w:color="auto" w:fill="auto"/>
            <w:vAlign w:val="center"/>
          </w:tcPr>
          <w:p w14:paraId="5C6E1FFA"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-5.6</w:t>
            </w:r>
          </w:p>
        </w:tc>
        <w:tc>
          <w:tcPr>
            <w:tcW w:w="1843" w:type="dxa"/>
            <w:tcBorders>
              <w:top w:val="single" w:sz="4" w:space="0" w:color="auto"/>
            </w:tcBorders>
            <w:shd w:val="clear" w:color="auto" w:fill="auto"/>
            <w:vAlign w:val="center"/>
          </w:tcPr>
          <w:p w14:paraId="07CDB42F"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-4.4</w:t>
            </w:r>
          </w:p>
        </w:tc>
      </w:tr>
      <w:tr w:rsidR="00FE407B" w:rsidRPr="00925C57" w14:paraId="4CAD7E65" w14:textId="77777777" w:rsidTr="00FE407B">
        <w:tc>
          <w:tcPr>
            <w:tcW w:w="959" w:type="dxa"/>
            <w:shd w:val="clear" w:color="auto" w:fill="auto"/>
            <w:vAlign w:val="center"/>
          </w:tcPr>
          <w:p w14:paraId="27B7C61D"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Zan.</w:t>
            </w:r>
          </w:p>
        </w:tc>
        <w:tc>
          <w:tcPr>
            <w:tcW w:w="1134" w:type="dxa"/>
            <w:shd w:val="clear" w:color="auto" w:fill="auto"/>
            <w:vAlign w:val="center"/>
          </w:tcPr>
          <w:p w14:paraId="50381DFA" w14:textId="77777777" w:rsidR="0026545C" w:rsidRPr="00925C57" w:rsidRDefault="0026545C"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-7.3</w:t>
            </w:r>
          </w:p>
        </w:tc>
        <w:tc>
          <w:tcPr>
            <w:tcW w:w="1134" w:type="dxa"/>
            <w:shd w:val="clear" w:color="auto" w:fill="auto"/>
            <w:vAlign w:val="center"/>
          </w:tcPr>
          <w:p w14:paraId="13E2D8B0"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-6.4</w:t>
            </w:r>
          </w:p>
        </w:tc>
        <w:tc>
          <w:tcPr>
            <w:tcW w:w="879" w:type="dxa"/>
            <w:shd w:val="clear" w:color="auto" w:fill="auto"/>
            <w:vAlign w:val="center"/>
          </w:tcPr>
          <w:p w14:paraId="009F9BC0"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-4.2</w:t>
            </w:r>
          </w:p>
        </w:tc>
        <w:tc>
          <w:tcPr>
            <w:tcW w:w="964" w:type="dxa"/>
            <w:shd w:val="clear" w:color="auto" w:fill="auto"/>
            <w:vAlign w:val="center"/>
          </w:tcPr>
          <w:p w14:paraId="0626D6FE"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-4.7</w:t>
            </w:r>
          </w:p>
        </w:tc>
        <w:tc>
          <w:tcPr>
            <w:tcW w:w="850" w:type="dxa"/>
            <w:shd w:val="clear" w:color="auto" w:fill="auto"/>
            <w:vAlign w:val="center"/>
          </w:tcPr>
          <w:p w14:paraId="1B127145" w14:textId="77777777" w:rsidR="0026545C" w:rsidRPr="00925C57" w:rsidRDefault="0026545C" w:rsidP="00FE407B">
            <w:pPr>
              <w:autoSpaceDE w:val="0"/>
              <w:autoSpaceDN w:val="0"/>
              <w:adjustRightInd w:val="0"/>
              <w:snapToGrid w:val="0"/>
              <w:jc w:val="center"/>
              <w:rPr>
                <w:rFonts w:ascii="Times New Roman" w:hAnsi="Times New Roman" w:cs="Times New Roman"/>
                <w:b/>
                <w:color w:val="FF0000"/>
                <w:sz w:val="20"/>
                <w:lang w:val="en-US"/>
              </w:rPr>
            </w:pPr>
            <w:r w:rsidRPr="00925C57">
              <w:rPr>
                <w:rFonts w:ascii="Times New Roman" w:hAnsi="Times New Roman" w:cs="Times New Roman"/>
                <w:b/>
                <w:sz w:val="20"/>
                <w:lang w:val="en-US"/>
              </w:rPr>
              <w:t>-5.6</w:t>
            </w:r>
          </w:p>
        </w:tc>
        <w:tc>
          <w:tcPr>
            <w:tcW w:w="851" w:type="dxa"/>
            <w:shd w:val="clear" w:color="auto" w:fill="auto"/>
            <w:vAlign w:val="center"/>
          </w:tcPr>
          <w:p w14:paraId="2D901C60"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-5.0</w:t>
            </w:r>
          </w:p>
        </w:tc>
        <w:tc>
          <w:tcPr>
            <w:tcW w:w="850" w:type="dxa"/>
            <w:shd w:val="clear" w:color="auto" w:fill="auto"/>
            <w:vAlign w:val="center"/>
          </w:tcPr>
          <w:p w14:paraId="0C9D68D4"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-5.6</w:t>
            </w:r>
          </w:p>
        </w:tc>
        <w:tc>
          <w:tcPr>
            <w:tcW w:w="1843" w:type="dxa"/>
            <w:shd w:val="clear" w:color="auto" w:fill="auto"/>
            <w:vAlign w:val="center"/>
          </w:tcPr>
          <w:p w14:paraId="0DCB55F6" w14:textId="77777777" w:rsidR="0026545C" w:rsidRPr="00925C57" w:rsidRDefault="0026545C"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-5.0</w:t>
            </w:r>
          </w:p>
        </w:tc>
      </w:tr>
      <w:tr w:rsidR="00FE407B" w:rsidRPr="00925C57" w14:paraId="255E33DC" w14:textId="77777777" w:rsidTr="00FE407B">
        <w:tc>
          <w:tcPr>
            <w:tcW w:w="959" w:type="dxa"/>
            <w:shd w:val="clear" w:color="auto" w:fill="auto"/>
            <w:vAlign w:val="center"/>
          </w:tcPr>
          <w:p w14:paraId="36D6B77B"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Per.</w:t>
            </w:r>
          </w:p>
        </w:tc>
        <w:tc>
          <w:tcPr>
            <w:tcW w:w="1134" w:type="dxa"/>
            <w:shd w:val="clear" w:color="auto" w:fill="auto"/>
            <w:vAlign w:val="center"/>
          </w:tcPr>
          <w:p w14:paraId="6649B030"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-7.7</w:t>
            </w:r>
          </w:p>
        </w:tc>
        <w:tc>
          <w:tcPr>
            <w:tcW w:w="1134" w:type="dxa"/>
            <w:shd w:val="clear" w:color="auto" w:fill="auto"/>
            <w:vAlign w:val="center"/>
          </w:tcPr>
          <w:p w14:paraId="33F91EB8"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-6.6</w:t>
            </w:r>
          </w:p>
        </w:tc>
        <w:tc>
          <w:tcPr>
            <w:tcW w:w="879" w:type="dxa"/>
            <w:shd w:val="clear" w:color="auto" w:fill="auto"/>
            <w:vAlign w:val="center"/>
          </w:tcPr>
          <w:p w14:paraId="771C474A"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-5.3</w:t>
            </w:r>
          </w:p>
        </w:tc>
        <w:tc>
          <w:tcPr>
            <w:tcW w:w="964" w:type="dxa"/>
            <w:shd w:val="clear" w:color="auto" w:fill="auto"/>
            <w:vAlign w:val="center"/>
          </w:tcPr>
          <w:p w14:paraId="12E7E8E8"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-5.4</w:t>
            </w:r>
          </w:p>
        </w:tc>
        <w:tc>
          <w:tcPr>
            <w:tcW w:w="850" w:type="dxa"/>
            <w:shd w:val="clear" w:color="auto" w:fill="auto"/>
            <w:vAlign w:val="center"/>
          </w:tcPr>
          <w:p w14:paraId="65DECBE5"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-5.6</w:t>
            </w:r>
          </w:p>
        </w:tc>
        <w:tc>
          <w:tcPr>
            <w:tcW w:w="851" w:type="dxa"/>
            <w:shd w:val="clear" w:color="auto" w:fill="auto"/>
            <w:vAlign w:val="center"/>
          </w:tcPr>
          <w:p w14:paraId="2F40F233"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-5.6</w:t>
            </w:r>
          </w:p>
        </w:tc>
        <w:tc>
          <w:tcPr>
            <w:tcW w:w="850" w:type="dxa"/>
            <w:shd w:val="clear" w:color="auto" w:fill="auto"/>
            <w:vAlign w:val="center"/>
          </w:tcPr>
          <w:p w14:paraId="6998587B"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-5.1</w:t>
            </w:r>
          </w:p>
        </w:tc>
        <w:tc>
          <w:tcPr>
            <w:tcW w:w="1843" w:type="dxa"/>
            <w:shd w:val="clear" w:color="auto" w:fill="auto"/>
            <w:vAlign w:val="center"/>
          </w:tcPr>
          <w:p w14:paraId="14874B3E" w14:textId="77777777" w:rsidR="0026545C" w:rsidRPr="00925C57" w:rsidRDefault="0026545C" w:rsidP="00FE407B">
            <w:pPr>
              <w:autoSpaceDE w:val="0"/>
              <w:autoSpaceDN w:val="0"/>
              <w:adjustRightInd w:val="0"/>
              <w:snapToGrid w:val="0"/>
              <w:jc w:val="center"/>
              <w:rPr>
                <w:rFonts w:ascii="Times New Roman" w:hAnsi="Times New Roman" w:cs="Times New Roman"/>
                <w:b/>
                <w:color w:val="000000" w:themeColor="text1"/>
                <w:sz w:val="20"/>
                <w:lang w:val="en-US"/>
              </w:rPr>
            </w:pPr>
            <w:r w:rsidRPr="00925C57">
              <w:rPr>
                <w:rFonts w:ascii="Times New Roman" w:hAnsi="Times New Roman" w:cs="Times New Roman"/>
                <w:b/>
                <w:color w:val="000000" w:themeColor="text1"/>
                <w:sz w:val="20"/>
                <w:lang w:val="en-US"/>
              </w:rPr>
              <w:t>-5.3</w:t>
            </w:r>
          </w:p>
        </w:tc>
      </w:tr>
      <w:tr w:rsidR="00FE407B" w:rsidRPr="00925C57" w14:paraId="2DB8E517" w14:textId="77777777" w:rsidTr="00FE407B">
        <w:tc>
          <w:tcPr>
            <w:tcW w:w="959" w:type="dxa"/>
            <w:shd w:val="clear" w:color="auto" w:fill="auto"/>
            <w:vAlign w:val="center"/>
          </w:tcPr>
          <w:p w14:paraId="29F84A74"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Lan.</w:t>
            </w:r>
          </w:p>
        </w:tc>
        <w:tc>
          <w:tcPr>
            <w:tcW w:w="1134" w:type="dxa"/>
            <w:shd w:val="clear" w:color="auto" w:fill="auto"/>
            <w:vAlign w:val="center"/>
          </w:tcPr>
          <w:p w14:paraId="354CFB37"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-6.6</w:t>
            </w:r>
          </w:p>
        </w:tc>
        <w:tc>
          <w:tcPr>
            <w:tcW w:w="1134" w:type="dxa"/>
            <w:shd w:val="clear" w:color="auto" w:fill="auto"/>
            <w:vAlign w:val="center"/>
          </w:tcPr>
          <w:p w14:paraId="654E33DC"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-6.3</w:t>
            </w:r>
          </w:p>
        </w:tc>
        <w:tc>
          <w:tcPr>
            <w:tcW w:w="879" w:type="dxa"/>
            <w:shd w:val="clear" w:color="auto" w:fill="auto"/>
            <w:vAlign w:val="center"/>
          </w:tcPr>
          <w:p w14:paraId="042878AF"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-4.7</w:t>
            </w:r>
          </w:p>
        </w:tc>
        <w:tc>
          <w:tcPr>
            <w:tcW w:w="964" w:type="dxa"/>
            <w:shd w:val="clear" w:color="auto" w:fill="auto"/>
            <w:vAlign w:val="center"/>
          </w:tcPr>
          <w:p w14:paraId="1FAA8B6C"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-4.6</w:t>
            </w:r>
          </w:p>
        </w:tc>
        <w:tc>
          <w:tcPr>
            <w:tcW w:w="850" w:type="dxa"/>
            <w:shd w:val="clear" w:color="auto" w:fill="auto"/>
            <w:vAlign w:val="center"/>
          </w:tcPr>
          <w:p w14:paraId="6CB36A66"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-5.5</w:t>
            </w:r>
          </w:p>
        </w:tc>
        <w:tc>
          <w:tcPr>
            <w:tcW w:w="851" w:type="dxa"/>
            <w:shd w:val="clear" w:color="auto" w:fill="auto"/>
            <w:vAlign w:val="center"/>
          </w:tcPr>
          <w:p w14:paraId="3A05C5CA"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-5.0</w:t>
            </w:r>
          </w:p>
        </w:tc>
        <w:tc>
          <w:tcPr>
            <w:tcW w:w="850" w:type="dxa"/>
            <w:shd w:val="clear" w:color="auto" w:fill="auto"/>
            <w:vAlign w:val="center"/>
          </w:tcPr>
          <w:p w14:paraId="0A819E18"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-4.9</w:t>
            </w:r>
          </w:p>
        </w:tc>
        <w:tc>
          <w:tcPr>
            <w:tcW w:w="1843" w:type="dxa"/>
            <w:shd w:val="clear" w:color="auto" w:fill="auto"/>
            <w:vAlign w:val="center"/>
          </w:tcPr>
          <w:p w14:paraId="299AABAD"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-4.6</w:t>
            </w:r>
          </w:p>
        </w:tc>
      </w:tr>
      <w:tr w:rsidR="00FE407B" w:rsidRPr="00925C57" w14:paraId="1664C7FA" w14:textId="77777777" w:rsidTr="00FE407B">
        <w:tc>
          <w:tcPr>
            <w:tcW w:w="959" w:type="dxa"/>
            <w:shd w:val="clear" w:color="auto" w:fill="auto"/>
            <w:vAlign w:val="center"/>
          </w:tcPr>
          <w:p w14:paraId="293963A5" w14:textId="1660A0FF" w:rsidR="0026545C" w:rsidRPr="00925C57" w:rsidRDefault="00B94E31"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L-A</w:t>
            </w:r>
            <w:r w:rsidR="0026545C" w:rsidRPr="00925C57">
              <w:rPr>
                <w:rFonts w:ascii="Times New Roman" w:hAnsi="Times New Roman" w:cs="Times New Roman"/>
                <w:b/>
                <w:sz w:val="20"/>
                <w:lang w:val="en-US"/>
              </w:rPr>
              <w:t>rg.</w:t>
            </w:r>
          </w:p>
        </w:tc>
        <w:tc>
          <w:tcPr>
            <w:tcW w:w="1134" w:type="dxa"/>
            <w:shd w:val="clear" w:color="auto" w:fill="auto"/>
            <w:vAlign w:val="center"/>
          </w:tcPr>
          <w:p w14:paraId="19B084F0"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-5.1</w:t>
            </w:r>
          </w:p>
        </w:tc>
        <w:tc>
          <w:tcPr>
            <w:tcW w:w="1134" w:type="dxa"/>
            <w:shd w:val="clear" w:color="auto" w:fill="auto"/>
            <w:vAlign w:val="center"/>
          </w:tcPr>
          <w:p w14:paraId="23E8B66B"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-5.0</w:t>
            </w:r>
          </w:p>
        </w:tc>
        <w:tc>
          <w:tcPr>
            <w:tcW w:w="879" w:type="dxa"/>
            <w:shd w:val="clear" w:color="auto" w:fill="auto"/>
            <w:vAlign w:val="center"/>
          </w:tcPr>
          <w:p w14:paraId="31AAE86F"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-4.6</w:t>
            </w:r>
          </w:p>
        </w:tc>
        <w:tc>
          <w:tcPr>
            <w:tcW w:w="964" w:type="dxa"/>
            <w:shd w:val="clear" w:color="auto" w:fill="auto"/>
            <w:vAlign w:val="center"/>
          </w:tcPr>
          <w:p w14:paraId="04A3C1B2"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-4.4</w:t>
            </w:r>
          </w:p>
        </w:tc>
        <w:tc>
          <w:tcPr>
            <w:tcW w:w="850" w:type="dxa"/>
            <w:shd w:val="clear" w:color="auto" w:fill="auto"/>
            <w:vAlign w:val="center"/>
          </w:tcPr>
          <w:p w14:paraId="194A7533"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-4.4</w:t>
            </w:r>
          </w:p>
        </w:tc>
        <w:tc>
          <w:tcPr>
            <w:tcW w:w="851" w:type="dxa"/>
            <w:shd w:val="clear" w:color="auto" w:fill="auto"/>
            <w:vAlign w:val="center"/>
          </w:tcPr>
          <w:p w14:paraId="587EED75"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-4.4</w:t>
            </w:r>
          </w:p>
        </w:tc>
        <w:tc>
          <w:tcPr>
            <w:tcW w:w="850" w:type="dxa"/>
            <w:shd w:val="clear" w:color="auto" w:fill="auto"/>
            <w:vAlign w:val="center"/>
          </w:tcPr>
          <w:p w14:paraId="186889BB"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-4.5</w:t>
            </w:r>
          </w:p>
        </w:tc>
        <w:tc>
          <w:tcPr>
            <w:tcW w:w="1843" w:type="dxa"/>
            <w:shd w:val="clear" w:color="auto" w:fill="auto"/>
            <w:vAlign w:val="center"/>
          </w:tcPr>
          <w:p w14:paraId="7D7897CE"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-4.7</w:t>
            </w:r>
          </w:p>
        </w:tc>
      </w:tr>
      <w:tr w:rsidR="00FE407B" w:rsidRPr="00925C57" w14:paraId="6A4665EC" w14:textId="77777777" w:rsidTr="00FE407B">
        <w:tc>
          <w:tcPr>
            <w:tcW w:w="959" w:type="dxa"/>
            <w:shd w:val="clear" w:color="auto" w:fill="auto"/>
            <w:vAlign w:val="center"/>
          </w:tcPr>
          <w:p w14:paraId="33588B53"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Bens.</w:t>
            </w:r>
          </w:p>
        </w:tc>
        <w:tc>
          <w:tcPr>
            <w:tcW w:w="1134" w:type="dxa"/>
            <w:shd w:val="clear" w:color="auto" w:fill="auto"/>
            <w:vAlign w:val="center"/>
          </w:tcPr>
          <w:p w14:paraId="66E5D042"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-5.1</w:t>
            </w:r>
          </w:p>
        </w:tc>
        <w:tc>
          <w:tcPr>
            <w:tcW w:w="1134" w:type="dxa"/>
            <w:shd w:val="clear" w:color="auto" w:fill="auto"/>
            <w:vAlign w:val="center"/>
          </w:tcPr>
          <w:p w14:paraId="19735D67"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-4.9</w:t>
            </w:r>
          </w:p>
        </w:tc>
        <w:tc>
          <w:tcPr>
            <w:tcW w:w="879" w:type="dxa"/>
            <w:shd w:val="clear" w:color="auto" w:fill="auto"/>
            <w:vAlign w:val="center"/>
          </w:tcPr>
          <w:p w14:paraId="79D301B2"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-5.0</w:t>
            </w:r>
          </w:p>
        </w:tc>
        <w:tc>
          <w:tcPr>
            <w:tcW w:w="964" w:type="dxa"/>
            <w:shd w:val="clear" w:color="auto" w:fill="auto"/>
            <w:vAlign w:val="center"/>
          </w:tcPr>
          <w:p w14:paraId="2EF4FC3B"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-5.0</w:t>
            </w:r>
          </w:p>
        </w:tc>
        <w:tc>
          <w:tcPr>
            <w:tcW w:w="850" w:type="dxa"/>
            <w:shd w:val="clear" w:color="auto" w:fill="auto"/>
            <w:vAlign w:val="center"/>
          </w:tcPr>
          <w:p w14:paraId="077D32F0"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-5.2</w:t>
            </w:r>
          </w:p>
        </w:tc>
        <w:tc>
          <w:tcPr>
            <w:tcW w:w="851" w:type="dxa"/>
            <w:shd w:val="clear" w:color="auto" w:fill="auto"/>
            <w:vAlign w:val="center"/>
          </w:tcPr>
          <w:p w14:paraId="6917C9F2"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-5.0</w:t>
            </w:r>
          </w:p>
        </w:tc>
        <w:tc>
          <w:tcPr>
            <w:tcW w:w="850" w:type="dxa"/>
            <w:shd w:val="clear" w:color="auto" w:fill="auto"/>
            <w:vAlign w:val="center"/>
          </w:tcPr>
          <w:p w14:paraId="50AB41EC" w14:textId="77777777" w:rsidR="0026545C" w:rsidRPr="00925C57" w:rsidRDefault="0026545C"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-5.4</w:t>
            </w:r>
          </w:p>
        </w:tc>
        <w:tc>
          <w:tcPr>
            <w:tcW w:w="1843" w:type="dxa"/>
            <w:shd w:val="clear" w:color="auto" w:fill="auto"/>
            <w:vAlign w:val="center"/>
          </w:tcPr>
          <w:p w14:paraId="550CE1FC" w14:textId="77777777" w:rsidR="0026545C" w:rsidRPr="00925C57" w:rsidRDefault="0026545C"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-5.4</w:t>
            </w:r>
          </w:p>
        </w:tc>
      </w:tr>
    </w:tbl>
    <w:p w14:paraId="787C6C1F" w14:textId="70661BC9" w:rsidR="009B3CD0" w:rsidRPr="00925C57" w:rsidRDefault="00DA15CC" w:rsidP="00FE407B">
      <w:pPr>
        <w:pStyle w:val="MDPI43tablefooter"/>
        <w:ind w:left="425" w:right="425"/>
        <w:jc w:val="both"/>
      </w:pPr>
      <w:r w:rsidRPr="00925C57">
        <w:rPr>
          <w:b/>
          <w:vertAlign w:val="superscript"/>
        </w:rPr>
        <w:t>1</w:t>
      </w:r>
      <w:r w:rsidR="0026545C" w:rsidRPr="00925C57">
        <w:t xml:space="preserve">The top values of S score (kcal/mol) obtained from the docking simulations of </w:t>
      </w:r>
      <w:r w:rsidR="002F3541" w:rsidRPr="00925C57">
        <w:t>MOE software for the drugs Oseltamivir, Z</w:t>
      </w:r>
      <w:r w:rsidR="0026545C" w:rsidRPr="00925C57">
        <w:t>ana</w:t>
      </w:r>
      <w:r w:rsidR="002F3541" w:rsidRPr="00925C57">
        <w:t>mivir, P</w:t>
      </w:r>
      <w:r w:rsidR="0026545C" w:rsidRPr="00925C57">
        <w:t>er</w:t>
      </w:r>
      <w:r w:rsidR="002F3541" w:rsidRPr="00925C57">
        <w:t>amivir, L</w:t>
      </w:r>
      <w:r w:rsidR="0026545C" w:rsidRPr="00925C57">
        <w:t>aninamivir, L-Arginine and Benserazide hydrochloride to the binding pocket of wild type as well as R to K mutations of N9 neuraminidase at positions 294, 119, 372. The top scores amongst all studied compounds are shown in bold.</w:t>
      </w:r>
    </w:p>
    <w:p w14:paraId="0AB7966C" w14:textId="0553CD59" w:rsidR="00482C6A" w:rsidRPr="00925C57" w:rsidRDefault="00235BD9" w:rsidP="00FE407B">
      <w:pPr>
        <w:pStyle w:val="MDPI22heading2"/>
        <w:spacing w:before="240"/>
      </w:pPr>
      <w:r w:rsidRPr="00925C57">
        <w:t xml:space="preserve">2.3. </w:t>
      </w:r>
      <w:r w:rsidR="0034060B" w:rsidRPr="00925C57">
        <w:t xml:space="preserve">Binding </w:t>
      </w:r>
      <w:r w:rsidR="00EF669F" w:rsidRPr="00925C57">
        <w:t>A</w:t>
      </w:r>
      <w:r w:rsidR="00482C6A" w:rsidRPr="00925C57">
        <w:t xml:space="preserve">ssessment of </w:t>
      </w:r>
      <w:r w:rsidR="00EF669F" w:rsidRPr="00925C57">
        <w:t>Potent Drugs</w:t>
      </w:r>
      <w:r w:rsidR="00482C6A" w:rsidRPr="00925C57">
        <w:t xml:space="preserve"> with H7N9 </w:t>
      </w:r>
      <w:r w:rsidR="00EF669F" w:rsidRPr="00925C57">
        <w:t>S</w:t>
      </w:r>
      <w:r w:rsidR="00482C6A" w:rsidRPr="00925C57">
        <w:t xml:space="preserve">ingle, </w:t>
      </w:r>
      <w:r w:rsidR="00EF669F" w:rsidRPr="00925C57">
        <w:t>D</w:t>
      </w:r>
      <w:r w:rsidR="00482C6A" w:rsidRPr="00925C57">
        <w:t xml:space="preserve">ouble and </w:t>
      </w:r>
      <w:r w:rsidR="00EF669F" w:rsidRPr="00925C57">
        <w:t>Triple M</w:t>
      </w:r>
      <w:r w:rsidR="0034060B" w:rsidRPr="00925C57">
        <w:t>utants.</w:t>
      </w:r>
      <w:r w:rsidR="00482C6A" w:rsidRPr="00925C57">
        <w:t xml:space="preserve"> </w:t>
      </w:r>
    </w:p>
    <w:p w14:paraId="45FA5640" w14:textId="135964E7" w:rsidR="00947870" w:rsidRPr="00925C57" w:rsidRDefault="00F34484" w:rsidP="00FE407B">
      <w:pPr>
        <w:pStyle w:val="MDPI31text"/>
      </w:pPr>
      <w:r w:rsidRPr="00925C57">
        <w:t>Table</w:t>
      </w:r>
      <w:r w:rsidR="001D54A9" w:rsidRPr="00925C57">
        <w:t>s</w:t>
      </w:r>
      <w:r w:rsidRPr="00925C57">
        <w:t xml:space="preserve"> 4 </w:t>
      </w:r>
      <w:r w:rsidR="001D54A9" w:rsidRPr="00925C57">
        <w:t xml:space="preserve">and 5 </w:t>
      </w:r>
      <w:r w:rsidRPr="00925C57">
        <w:t>report the list of the residues inside the pockets of NAs involved in hydrogen bond</w:t>
      </w:r>
      <w:r w:rsidR="00B01946" w:rsidRPr="00925C57">
        <w:t xml:space="preserve"> (H-bond)</w:t>
      </w:r>
      <w:r w:rsidRPr="00925C57">
        <w:t xml:space="preserve"> </w:t>
      </w:r>
      <w:r w:rsidR="0024757F" w:rsidRPr="00925C57">
        <w:t xml:space="preserve">and salt </w:t>
      </w:r>
      <w:r w:rsidR="001D54A9" w:rsidRPr="00925C57">
        <w:t xml:space="preserve">bridge </w:t>
      </w:r>
      <w:r w:rsidRPr="00925C57">
        <w:t>formations</w:t>
      </w:r>
      <w:r w:rsidR="001D54A9" w:rsidRPr="00925C57">
        <w:t>, respectively,</w:t>
      </w:r>
      <w:r w:rsidR="00830902" w:rsidRPr="00925C57">
        <w:t xml:space="preserve"> </w:t>
      </w:r>
      <w:r w:rsidRPr="00925C57">
        <w:t xml:space="preserve">with </w:t>
      </w:r>
      <w:r w:rsidR="001D54A9" w:rsidRPr="00925C57">
        <w:t xml:space="preserve">the drugs </w:t>
      </w:r>
      <w:r w:rsidR="00DB20F1" w:rsidRPr="00925C57">
        <w:t>Os</w:t>
      </w:r>
      <w:r w:rsidRPr="00925C57">
        <w:t>e</w:t>
      </w:r>
      <w:r w:rsidR="00DB20F1" w:rsidRPr="00925C57">
        <w:t>l</w:t>
      </w:r>
      <w:r w:rsidRPr="00925C57">
        <w:t>tamivir, Zanamivir, Peramivir, Laninamivir, L-Arginine and Benserazide hydrochloride.</w:t>
      </w:r>
      <w:r w:rsidR="00CB5112" w:rsidRPr="00925C57">
        <w:t xml:space="preserve"> </w:t>
      </w:r>
    </w:p>
    <w:p w14:paraId="67C90CD6" w14:textId="58C544A7" w:rsidR="00DB20F1" w:rsidRPr="00925C57" w:rsidRDefault="00DB20F1" w:rsidP="00FE407B">
      <w:pPr>
        <w:pStyle w:val="MDPI31text"/>
      </w:pPr>
      <w:r w:rsidRPr="00925C57">
        <w:t>According to the H-bond data from Table 4, the most frequently observed pocket residues involved in H-bond formations are Arg 153, Arg/Lys 372, Arg/Lys 294 and Arg/Lys 119 for the drug Oseltamivir; Arg/Lys 119, Trp 180, Arg/Lys 372, Asp 152, Tyr 406 and Arg/Lys 294 for Zanamivir; Trp 180, Arg 153, Asp 152, Tyr 406, Arg/Lys 294 and Arg/Lys 372 for Peramivir; Arg/Lys 294, Arg/Lys 372, Glu 278, Arg 153, Trp 180 and Tyr 406 for Laninamivir; Trp 180, Asp 152 and Tyr 406 for L-Arginine and, finally, Trp 180, Glu 229, Tyr 406, Asp 152 and Arg/Lys 294 for Benserazide hydrochloride.</w:t>
      </w:r>
    </w:p>
    <w:p w14:paraId="26FE6614" w14:textId="77777777" w:rsidR="00DB20F1" w:rsidRPr="00925C57" w:rsidRDefault="00DB20F1" w:rsidP="00FE407B">
      <w:pPr>
        <w:pStyle w:val="MDPI31text"/>
      </w:pPr>
      <w:r w:rsidRPr="00925C57">
        <w:t>It is worth to note, that the residues Arg/Lys 294 and Tyr 406 can be considered as the key residues since they are involved in H-bond formation for almost all drug-enzyme complexes.</w:t>
      </w:r>
    </w:p>
    <w:p w14:paraId="3D5D7BB1" w14:textId="57ECA062" w:rsidR="00DB20F1" w:rsidRPr="00925C57" w:rsidRDefault="00DB20F1" w:rsidP="00FE407B">
      <w:pPr>
        <w:pStyle w:val="MDPI31text"/>
      </w:pPr>
      <w:r w:rsidRPr="00925C57">
        <w:t>The average number of H-bonds in the existence of NA inhibitors ranges from 6 for Zanamivir and Laninamivir; 5 for Peramivir and Benserazide hydrochloride; 4 for L</w:t>
      </w:r>
      <w:r w:rsidR="00405BD6" w:rsidRPr="00925C57">
        <w:t>-Ar</w:t>
      </w:r>
      <w:r w:rsidRPr="00925C57">
        <w:t>ginine; 5 for Benserazide hydrochloride and 3 for Oseltamivir. As for the average number of residues involved in salt bridge formations with the drugs, it is about 5 for Peramivir and L-Arginine; 4 for Zanamivir and Laninamivir and 0 for Benserazide hydrochloride. Taken together, the binding profile in terms of H-bond formation and salt bridge interaction looks quite similar for the drugs Zanamivir, Peramivir and Laninamivir.</w:t>
      </w:r>
    </w:p>
    <w:p w14:paraId="1C9394F9" w14:textId="351FC8EB" w:rsidR="000A42E8" w:rsidRPr="00925C57" w:rsidRDefault="00FE407B" w:rsidP="00FE407B">
      <w:pPr>
        <w:pStyle w:val="MDPI41tablecaption"/>
        <w:ind w:left="425" w:right="425"/>
        <w:jc w:val="center"/>
      </w:pPr>
      <w:r w:rsidRPr="00925C57">
        <w:rPr>
          <w:b/>
        </w:rPr>
        <w:t xml:space="preserve">Table 4. </w:t>
      </w:r>
      <w:r w:rsidR="007E0271" w:rsidRPr="00925C57">
        <w:t>H- bond interaction profile for all the drug</w:t>
      </w:r>
      <w:r w:rsidR="008471FC">
        <w:t>s</w:t>
      </w:r>
      <w:r w:rsidR="007E0271" w:rsidRPr="00925C57">
        <w:t xml:space="preserve"> compared</w:t>
      </w:r>
      <w:r w:rsidR="007E0271" w:rsidRPr="00925C57">
        <w:rPr>
          <w:vertAlign w:val="superscript"/>
        </w:rPr>
        <w:t>1</w:t>
      </w:r>
      <w:r w:rsidRPr="00925C57">
        <w:rPr>
          <w:vertAlign w:val="superscript"/>
        </w:rPr>
        <w:t>.</w:t>
      </w:r>
    </w:p>
    <w:tbl>
      <w:tblPr>
        <w:tblStyle w:val="TableGrid"/>
        <w:tblW w:w="10465"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0"/>
        <w:gridCol w:w="1115"/>
        <w:gridCol w:w="1136"/>
        <w:gridCol w:w="1273"/>
        <w:gridCol w:w="1273"/>
        <w:gridCol w:w="1273"/>
        <w:gridCol w:w="1108"/>
        <w:gridCol w:w="1198"/>
        <w:gridCol w:w="1219"/>
      </w:tblGrid>
      <w:tr w:rsidR="00FE407B" w:rsidRPr="00925C57" w14:paraId="1498C98B" w14:textId="77777777" w:rsidTr="00FE407B">
        <w:tc>
          <w:tcPr>
            <w:tcW w:w="825" w:type="dxa"/>
            <w:tcBorders>
              <w:top w:val="single" w:sz="8" w:space="0" w:color="auto"/>
              <w:bottom w:val="single" w:sz="4" w:space="0" w:color="auto"/>
            </w:tcBorders>
            <w:shd w:val="clear" w:color="auto" w:fill="auto"/>
            <w:vAlign w:val="center"/>
          </w:tcPr>
          <w:p w14:paraId="009388E0"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p>
        </w:tc>
        <w:tc>
          <w:tcPr>
            <w:tcW w:w="1056" w:type="dxa"/>
            <w:tcBorders>
              <w:top w:val="single" w:sz="8" w:space="0" w:color="auto"/>
              <w:bottom w:val="single" w:sz="4" w:space="0" w:color="auto"/>
            </w:tcBorders>
            <w:shd w:val="clear" w:color="auto" w:fill="auto"/>
            <w:vAlign w:val="center"/>
          </w:tcPr>
          <w:p w14:paraId="36F698B2"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R294 (4MWQ)</w:t>
            </w:r>
          </w:p>
        </w:tc>
        <w:tc>
          <w:tcPr>
            <w:tcW w:w="1076" w:type="dxa"/>
            <w:tcBorders>
              <w:top w:val="single" w:sz="8" w:space="0" w:color="auto"/>
              <w:bottom w:val="single" w:sz="4" w:space="0" w:color="auto"/>
            </w:tcBorders>
            <w:shd w:val="clear" w:color="auto" w:fill="auto"/>
            <w:vAlign w:val="center"/>
          </w:tcPr>
          <w:p w14:paraId="2D4CBBA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 xml:space="preserve">R294K </w:t>
            </w:r>
          </w:p>
        </w:tc>
        <w:tc>
          <w:tcPr>
            <w:tcW w:w="1205" w:type="dxa"/>
            <w:tcBorders>
              <w:top w:val="single" w:sz="8" w:space="0" w:color="auto"/>
              <w:bottom w:val="single" w:sz="4" w:space="0" w:color="auto"/>
            </w:tcBorders>
            <w:shd w:val="clear" w:color="auto" w:fill="auto"/>
            <w:vAlign w:val="center"/>
          </w:tcPr>
          <w:p w14:paraId="73C7FCE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R119K</w:t>
            </w:r>
          </w:p>
        </w:tc>
        <w:tc>
          <w:tcPr>
            <w:tcW w:w="1205" w:type="dxa"/>
            <w:tcBorders>
              <w:top w:val="single" w:sz="8" w:space="0" w:color="auto"/>
              <w:bottom w:val="single" w:sz="4" w:space="0" w:color="auto"/>
            </w:tcBorders>
            <w:shd w:val="clear" w:color="auto" w:fill="auto"/>
            <w:vAlign w:val="center"/>
          </w:tcPr>
          <w:p w14:paraId="5A3E7187"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R372K</w:t>
            </w:r>
          </w:p>
        </w:tc>
        <w:tc>
          <w:tcPr>
            <w:tcW w:w="1205" w:type="dxa"/>
            <w:tcBorders>
              <w:top w:val="single" w:sz="8" w:space="0" w:color="auto"/>
              <w:bottom w:val="single" w:sz="4" w:space="0" w:color="auto"/>
            </w:tcBorders>
            <w:shd w:val="clear" w:color="auto" w:fill="auto"/>
            <w:vAlign w:val="center"/>
          </w:tcPr>
          <w:p w14:paraId="28961DB0"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R294_119K</w:t>
            </w:r>
          </w:p>
        </w:tc>
        <w:tc>
          <w:tcPr>
            <w:tcW w:w="1049" w:type="dxa"/>
            <w:tcBorders>
              <w:top w:val="single" w:sz="8" w:space="0" w:color="auto"/>
              <w:bottom w:val="single" w:sz="4" w:space="0" w:color="auto"/>
            </w:tcBorders>
            <w:shd w:val="clear" w:color="auto" w:fill="auto"/>
            <w:vAlign w:val="center"/>
          </w:tcPr>
          <w:p w14:paraId="21FDB405"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R294_372K</w:t>
            </w:r>
          </w:p>
        </w:tc>
        <w:tc>
          <w:tcPr>
            <w:tcW w:w="1134" w:type="dxa"/>
            <w:tcBorders>
              <w:top w:val="single" w:sz="8" w:space="0" w:color="auto"/>
              <w:bottom w:val="single" w:sz="4" w:space="0" w:color="auto"/>
            </w:tcBorders>
            <w:shd w:val="clear" w:color="auto" w:fill="auto"/>
            <w:vAlign w:val="center"/>
          </w:tcPr>
          <w:p w14:paraId="1CEFD772"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R119_372K</w:t>
            </w:r>
          </w:p>
        </w:tc>
        <w:tc>
          <w:tcPr>
            <w:tcW w:w="1154" w:type="dxa"/>
            <w:tcBorders>
              <w:top w:val="single" w:sz="8" w:space="0" w:color="auto"/>
              <w:bottom w:val="single" w:sz="4" w:space="0" w:color="auto"/>
            </w:tcBorders>
            <w:shd w:val="clear" w:color="auto" w:fill="auto"/>
            <w:vAlign w:val="center"/>
          </w:tcPr>
          <w:p w14:paraId="3828E9A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R294_119_372K</w:t>
            </w:r>
          </w:p>
        </w:tc>
      </w:tr>
      <w:tr w:rsidR="00FE407B" w:rsidRPr="00925C57" w14:paraId="0ADCDD38" w14:textId="77777777" w:rsidTr="00FE407B">
        <w:tc>
          <w:tcPr>
            <w:tcW w:w="825" w:type="dxa"/>
            <w:tcBorders>
              <w:top w:val="single" w:sz="4" w:space="0" w:color="auto"/>
            </w:tcBorders>
            <w:shd w:val="clear" w:color="auto" w:fill="auto"/>
            <w:vAlign w:val="center"/>
          </w:tcPr>
          <w:p w14:paraId="4478A878"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Oselt.</w:t>
            </w:r>
          </w:p>
        </w:tc>
        <w:tc>
          <w:tcPr>
            <w:tcW w:w="1056" w:type="dxa"/>
            <w:tcBorders>
              <w:top w:val="single" w:sz="4" w:space="0" w:color="auto"/>
            </w:tcBorders>
            <w:shd w:val="clear" w:color="auto" w:fill="auto"/>
            <w:vAlign w:val="center"/>
          </w:tcPr>
          <w:p w14:paraId="63E3EEAA"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 xml:space="preserve">Glu 120 </w:t>
            </w:r>
          </w:p>
          <w:p w14:paraId="3A47DF40"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b/>
                <w:sz w:val="18"/>
                <w:lang w:val="en-US"/>
              </w:rPr>
              <w:t>Arg 153</w:t>
            </w:r>
          </w:p>
          <w:p w14:paraId="724C7EE0"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b/>
                <w:sz w:val="18"/>
                <w:lang w:val="en-US"/>
              </w:rPr>
              <w:t xml:space="preserve">Arg 372 </w:t>
            </w:r>
          </w:p>
          <w:p w14:paraId="1D553E57" w14:textId="48ABEB21"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 xml:space="preserve">Arg 294 </w:t>
            </w:r>
          </w:p>
        </w:tc>
        <w:tc>
          <w:tcPr>
            <w:tcW w:w="1076" w:type="dxa"/>
            <w:tcBorders>
              <w:top w:val="single" w:sz="4" w:space="0" w:color="auto"/>
            </w:tcBorders>
            <w:shd w:val="clear" w:color="auto" w:fill="auto"/>
            <w:vAlign w:val="center"/>
          </w:tcPr>
          <w:p w14:paraId="6A455510"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 xml:space="preserve">Arg 372 </w:t>
            </w:r>
          </w:p>
          <w:p w14:paraId="00DD2F44"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 xml:space="preserve">Arg 119 </w:t>
            </w:r>
          </w:p>
          <w:p w14:paraId="406AFF1F"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153</w:t>
            </w:r>
          </w:p>
          <w:p w14:paraId="6B9B0134"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p>
        </w:tc>
        <w:tc>
          <w:tcPr>
            <w:tcW w:w="1205" w:type="dxa"/>
            <w:tcBorders>
              <w:top w:val="single" w:sz="4" w:space="0" w:color="auto"/>
            </w:tcBorders>
            <w:shd w:val="clear" w:color="auto" w:fill="auto"/>
            <w:vAlign w:val="center"/>
          </w:tcPr>
          <w:p w14:paraId="348A13A3"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Tyr 406</w:t>
            </w:r>
          </w:p>
          <w:p w14:paraId="302035D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372</w:t>
            </w:r>
          </w:p>
          <w:p w14:paraId="5EBE934E"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 xml:space="preserve">Arg 294 </w:t>
            </w:r>
          </w:p>
        </w:tc>
        <w:tc>
          <w:tcPr>
            <w:tcW w:w="1205" w:type="dxa"/>
            <w:tcBorders>
              <w:top w:val="single" w:sz="4" w:space="0" w:color="auto"/>
            </w:tcBorders>
            <w:shd w:val="clear" w:color="auto" w:fill="auto"/>
            <w:vAlign w:val="center"/>
          </w:tcPr>
          <w:p w14:paraId="5026107F"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Arg 294</w:t>
            </w:r>
          </w:p>
          <w:p w14:paraId="5F53A6F6" w14:textId="77777777" w:rsidR="007E0271" w:rsidRPr="00925C57" w:rsidRDefault="007E0271" w:rsidP="00FE407B">
            <w:pPr>
              <w:autoSpaceDE w:val="0"/>
              <w:autoSpaceDN w:val="0"/>
              <w:adjustRightInd w:val="0"/>
              <w:snapToGrid w:val="0"/>
              <w:jc w:val="center"/>
              <w:rPr>
                <w:rFonts w:ascii="Times New Roman" w:hAnsi="Times New Roman" w:cs="Times New Roman"/>
                <w:color w:val="000000" w:themeColor="text1"/>
                <w:sz w:val="18"/>
                <w:lang w:val="en-US"/>
              </w:rPr>
            </w:pPr>
            <w:r w:rsidRPr="00925C57">
              <w:rPr>
                <w:rFonts w:ascii="Times New Roman" w:hAnsi="Times New Roman" w:cs="Times New Roman"/>
                <w:color w:val="000000" w:themeColor="text1"/>
                <w:sz w:val="18"/>
                <w:lang w:val="en-US"/>
              </w:rPr>
              <w:t>Tyr 406</w:t>
            </w:r>
          </w:p>
          <w:p w14:paraId="27390881"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Arg 153</w:t>
            </w:r>
          </w:p>
        </w:tc>
        <w:tc>
          <w:tcPr>
            <w:tcW w:w="1205" w:type="dxa"/>
            <w:tcBorders>
              <w:top w:val="single" w:sz="4" w:space="0" w:color="auto"/>
            </w:tcBorders>
            <w:shd w:val="clear" w:color="auto" w:fill="auto"/>
            <w:vAlign w:val="center"/>
          </w:tcPr>
          <w:p w14:paraId="52080E3C"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Arg 372</w:t>
            </w:r>
          </w:p>
          <w:p w14:paraId="1A16F7AE"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Lys 294</w:t>
            </w:r>
          </w:p>
        </w:tc>
        <w:tc>
          <w:tcPr>
            <w:tcW w:w="1049" w:type="dxa"/>
            <w:tcBorders>
              <w:top w:val="single" w:sz="4" w:space="0" w:color="auto"/>
            </w:tcBorders>
            <w:shd w:val="clear" w:color="auto" w:fill="auto"/>
            <w:vAlign w:val="center"/>
          </w:tcPr>
          <w:p w14:paraId="7E28868E"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153</w:t>
            </w:r>
          </w:p>
          <w:p w14:paraId="73BEE633"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119</w:t>
            </w:r>
          </w:p>
        </w:tc>
        <w:tc>
          <w:tcPr>
            <w:tcW w:w="1134" w:type="dxa"/>
            <w:tcBorders>
              <w:top w:val="single" w:sz="4" w:space="0" w:color="auto"/>
            </w:tcBorders>
            <w:shd w:val="clear" w:color="auto" w:fill="auto"/>
            <w:vAlign w:val="center"/>
          </w:tcPr>
          <w:p w14:paraId="7D923307"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Lys 119</w:t>
            </w:r>
          </w:p>
          <w:p w14:paraId="6CBC8129"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Arg 153</w:t>
            </w:r>
          </w:p>
          <w:p w14:paraId="16B3F836"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 xml:space="preserve">Arg 294 </w:t>
            </w:r>
          </w:p>
          <w:p w14:paraId="1145DBE7"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p>
        </w:tc>
        <w:tc>
          <w:tcPr>
            <w:tcW w:w="1154" w:type="dxa"/>
            <w:tcBorders>
              <w:top w:val="single" w:sz="4" w:space="0" w:color="auto"/>
            </w:tcBorders>
            <w:shd w:val="clear" w:color="auto" w:fill="auto"/>
            <w:vAlign w:val="center"/>
          </w:tcPr>
          <w:p w14:paraId="4011EDCE"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 xml:space="preserve">Lys 372 </w:t>
            </w:r>
          </w:p>
        </w:tc>
      </w:tr>
      <w:tr w:rsidR="00FE407B" w:rsidRPr="00325F80" w14:paraId="5BFA8929" w14:textId="77777777" w:rsidTr="00FE407B">
        <w:tc>
          <w:tcPr>
            <w:tcW w:w="825" w:type="dxa"/>
            <w:shd w:val="clear" w:color="auto" w:fill="auto"/>
            <w:vAlign w:val="center"/>
          </w:tcPr>
          <w:p w14:paraId="561F579A"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Zan.</w:t>
            </w:r>
          </w:p>
        </w:tc>
        <w:tc>
          <w:tcPr>
            <w:tcW w:w="1056" w:type="dxa"/>
            <w:shd w:val="clear" w:color="auto" w:fill="auto"/>
            <w:vAlign w:val="center"/>
          </w:tcPr>
          <w:p w14:paraId="0B7099DF"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372</w:t>
            </w:r>
          </w:p>
          <w:p w14:paraId="79CBBB34" w14:textId="77777777" w:rsidR="007E0271" w:rsidRPr="00925C57" w:rsidRDefault="007E0271" w:rsidP="00FE407B">
            <w:pPr>
              <w:tabs>
                <w:tab w:val="center" w:pos="420"/>
              </w:tabs>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sz w:val="18"/>
                <w:lang w:val="en-US"/>
              </w:rPr>
              <w:tab/>
            </w:r>
            <w:r w:rsidRPr="00925C57">
              <w:rPr>
                <w:rFonts w:ascii="Times New Roman" w:hAnsi="Times New Roman" w:cs="Times New Roman"/>
                <w:b/>
                <w:sz w:val="18"/>
                <w:lang w:val="en-US"/>
              </w:rPr>
              <w:t>Arg 119</w:t>
            </w:r>
          </w:p>
          <w:p w14:paraId="17D9A6C4"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Asn 296</w:t>
            </w:r>
          </w:p>
          <w:p w14:paraId="13DF5DD6"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Trp 180</w:t>
            </w:r>
          </w:p>
          <w:p w14:paraId="7B1F89CB"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Glu 229</w:t>
            </w:r>
          </w:p>
          <w:p w14:paraId="1728275F" w14:textId="0BFF9942"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 xml:space="preserve">Asp 152 </w:t>
            </w:r>
          </w:p>
        </w:tc>
        <w:tc>
          <w:tcPr>
            <w:tcW w:w="1076" w:type="dxa"/>
            <w:shd w:val="clear" w:color="auto" w:fill="auto"/>
            <w:vAlign w:val="center"/>
          </w:tcPr>
          <w:p w14:paraId="7A7B269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p w14:paraId="6184B98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372</w:t>
            </w:r>
          </w:p>
          <w:p w14:paraId="3BCEA3A6"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119</w:t>
            </w:r>
          </w:p>
          <w:p w14:paraId="0168D9D8"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Lys 294</w:t>
            </w:r>
          </w:p>
          <w:p w14:paraId="2E79F256"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Asp 152</w:t>
            </w:r>
          </w:p>
          <w:p w14:paraId="17528FEF"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Trp 180</w:t>
            </w:r>
          </w:p>
        </w:tc>
        <w:tc>
          <w:tcPr>
            <w:tcW w:w="1205" w:type="dxa"/>
            <w:shd w:val="clear" w:color="auto" w:fill="auto"/>
            <w:vAlign w:val="center"/>
          </w:tcPr>
          <w:p w14:paraId="556875C3"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Trp 180</w:t>
            </w:r>
          </w:p>
          <w:p w14:paraId="237AA94C"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Arg 153</w:t>
            </w:r>
          </w:p>
          <w:p w14:paraId="33BD968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p w14:paraId="0B44DC04"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294</w:t>
            </w:r>
          </w:p>
          <w:p w14:paraId="6BB93B8D"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372</w:t>
            </w:r>
          </w:p>
        </w:tc>
        <w:tc>
          <w:tcPr>
            <w:tcW w:w="1205" w:type="dxa"/>
            <w:shd w:val="clear" w:color="auto" w:fill="auto"/>
            <w:vAlign w:val="center"/>
          </w:tcPr>
          <w:p w14:paraId="3C2E6F9B"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Trp 180</w:t>
            </w:r>
          </w:p>
          <w:p w14:paraId="5C7C6FFD" w14:textId="77777777" w:rsidR="007E0271" w:rsidRPr="00925C57" w:rsidRDefault="007E0271" w:rsidP="00FE407B">
            <w:pPr>
              <w:autoSpaceDE w:val="0"/>
              <w:autoSpaceDN w:val="0"/>
              <w:adjustRightInd w:val="0"/>
              <w:snapToGrid w:val="0"/>
              <w:jc w:val="center"/>
              <w:rPr>
                <w:rFonts w:ascii="Times New Roman" w:hAnsi="Times New Roman" w:cs="Times New Roman"/>
                <w:color w:val="000000" w:themeColor="text1"/>
                <w:sz w:val="18"/>
                <w:lang w:val="en-US"/>
              </w:rPr>
            </w:pPr>
            <w:r w:rsidRPr="00925C57">
              <w:rPr>
                <w:rFonts w:ascii="Times New Roman" w:hAnsi="Times New Roman" w:cs="Times New Roman"/>
                <w:color w:val="000000" w:themeColor="text1"/>
                <w:sz w:val="18"/>
                <w:lang w:val="en-US"/>
              </w:rPr>
              <w:t>Arg 153</w:t>
            </w:r>
          </w:p>
          <w:p w14:paraId="2CE11F38" w14:textId="77777777" w:rsidR="007E0271" w:rsidRPr="00925C57" w:rsidRDefault="007E0271" w:rsidP="00FE407B">
            <w:pPr>
              <w:autoSpaceDE w:val="0"/>
              <w:autoSpaceDN w:val="0"/>
              <w:adjustRightInd w:val="0"/>
              <w:snapToGrid w:val="0"/>
              <w:jc w:val="center"/>
              <w:rPr>
                <w:rFonts w:ascii="Times New Roman" w:hAnsi="Times New Roman" w:cs="Times New Roman"/>
                <w:color w:val="000000" w:themeColor="text1"/>
                <w:sz w:val="18"/>
                <w:lang w:val="en-US"/>
              </w:rPr>
            </w:pPr>
            <w:r w:rsidRPr="00925C57">
              <w:rPr>
                <w:rFonts w:ascii="Times New Roman" w:hAnsi="Times New Roman" w:cs="Times New Roman"/>
                <w:color w:val="000000" w:themeColor="text1"/>
                <w:sz w:val="18"/>
                <w:lang w:val="en-US"/>
              </w:rPr>
              <w:t>Glu 278</w:t>
            </w:r>
          </w:p>
          <w:p w14:paraId="537766CF"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Arg 294</w:t>
            </w:r>
          </w:p>
        </w:tc>
        <w:tc>
          <w:tcPr>
            <w:tcW w:w="1205" w:type="dxa"/>
            <w:shd w:val="clear" w:color="auto" w:fill="auto"/>
            <w:vAlign w:val="center"/>
          </w:tcPr>
          <w:p w14:paraId="26AFE745"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Arg 372</w:t>
            </w:r>
          </w:p>
          <w:p w14:paraId="45481443"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Lys 294</w:t>
            </w:r>
          </w:p>
          <w:p w14:paraId="793E3224" w14:textId="77777777" w:rsidR="007E0271" w:rsidRPr="00925C57" w:rsidRDefault="007E0271" w:rsidP="00FE407B">
            <w:pPr>
              <w:autoSpaceDE w:val="0"/>
              <w:autoSpaceDN w:val="0"/>
              <w:adjustRightInd w:val="0"/>
              <w:snapToGrid w:val="0"/>
              <w:jc w:val="center"/>
              <w:rPr>
                <w:rFonts w:ascii="Times New Roman" w:hAnsi="Times New Roman" w:cs="Times New Roman"/>
                <w:color w:val="000000" w:themeColor="text1"/>
                <w:sz w:val="18"/>
                <w:lang w:val="en-US"/>
              </w:rPr>
            </w:pPr>
            <w:r w:rsidRPr="00925C57">
              <w:rPr>
                <w:rFonts w:ascii="Times New Roman" w:hAnsi="Times New Roman" w:cs="Times New Roman"/>
                <w:color w:val="000000" w:themeColor="text1"/>
                <w:sz w:val="18"/>
                <w:lang w:val="en-US"/>
              </w:rPr>
              <w:t>Glu 278</w:t>
            </w:r>
          </w:p>
        </w:tc>
        <w:tc>
          <w:tcPr>
            <w:tcW w:w="1049" w:type="dxa"/>
            <w:shd w:val="clear" w:color="auto" w:fill="auto"/>
            <w:vAlign w:val="center"/>
          </w:tcPr>
          <w:p w14:paraId="62168D2E"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p w14:paraId="16331287"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119</w:t>
            </w:r>
          </w:p>
          <w:p w14:paraId="405A7F56"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Asp 152</w:t>
            </w:r>
          </w:p>
          <w:p w14:paraId="6AD3EC38"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Trp 180</w:t>
            </w:r>
          </w:p>
          <w:p w14:paraId="36FAC4DC" w14:textId="67A7432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Glu 278</w:t>
            </w:r>
          </w:p>
        </w:tc>
        <w:tc>
          <w:tcPr>
            <w:tcW w:w="1134" w:type="dxa"/>
            <w:shd w:val="clear" w:color="auto" w:fill="auto"/>
            <w:vAlign w:val="center"/>
          </w:tcPr>
          <w:p w14:paraId="4D5EFC9F" w14:textId="77777777" w:rsidR="007E0271" w:rsidRPr="004B7EAE" w:rsidRDefault="007E0271" w:rsidP="00FE407B">
            <w:pPr>
              <w:autoSpaceDE w:val="0"/>
              <w:autoSpaceDN w:val="0"/>
              <w:adjustRightInd w:val="0"/>
              <w:snapToGrid w:val="0"/>
              <w:jc w:val="center"/>
              <w:rPr>
                <w:rFonts w:ascii="Times New Roman" w:hAnsi="Times New Roman" w:cs="Times New Roman"/>
                <w:sz w:val="18"/>
              </w:rPr>
            </w:pPr>
            <w:r w:rsidRPr="004B7EAE">
              <w:rPr>
                <w:rFonts w:ascii="Times New Roman" w:hAnsi="Times New Roman" w:cs="Times New Roman"/>
                <w:sz w:val="18"/>
              </w:rPr>
              <w:t>Glu 278</w:t>
            </w:r>
          </w:p>
          <w:p w14:paraId="500E2B4A" w14:textId="77777777" w:rsidR="007E0271" w:rsidRPr="004B7EAE" w:rsidRDefault="007E0271" w:rsidP="00FE407B">
            <w:pPr>
              <w:autoSpaceDE w:val="0"/>
              <w:autoSpaceDN w:val="0"/>
              <w:adjustRightInd w:val="0"/>
              <w:snapToGrid w:val="0"/>
              <w:jc w:val="center"/>
              <w:rPr>
                <w:rFonts w:ascii="Times New Roman" w:hAnsi="Times New Roman" w:cs="Times New Roman"/>
                <w:b/>
                <w:sz w:val="18"/>
              </w:rPr>
            </w:pPr>
            <w:r w:rsidRPr="004B7EAE">
              <w:rPr>
                <w:rFonts w:ascii="Times New Roman" w:hAnsi="Times New Roman" w:cs="Times New Roman"/>
                <w:b/>
                <w:sz w:val="18"/>
              </w:rPr>
              <w:t>Arg 294</w:t>
            </w:r>
          </w:p>
          <w:p w14:paraId="4A9F9351" w14:textId="77777777" w:rsidR="007E0271" w:rsidRPr="004B7EAE" w:rsidRDefault="007E0271" w:rsidP="00FE407B">
            <w:pPr>
              <w:autoSpaceDE w:val="0"/>
              <w:autoSpaceDN w:val="0"/>
              <w:adjustRightInd w:val="0"/>
              <w:snapToGrid w:val="0"/>
              <w:jc w:val="center"/>
              <w:rPr>
                <w:rFonts w:ascii="Times New Roman" w:hAnsi="Times New Roman" w:cs="Times New Roman"/>
                <w:b/>
                <w:sz w:val="18"/>
              </w:rPr>
            </w:pPr>
            <w:r w:rsidRPr="004B7EAE">
              <w:rPr>
                <w:rFonts w:ascii="Times New Roman" w:hAnsi="Times New Roman" w:cs="Times New Roman"/>
                <w:b/>
                <w:sz w:val="18"/>
              </w:rPr>
              <w:t>Tyr 406</w:t>
            </w:r>
          </w:p>
          <w:p w14:paraId="66E377AB" w14:textId="77777777" w:rsidR="007E0271" w:rsidRPr="004B7EAE" w:rsidRDefault="007E0271" w:rsidP="00FE407B">
            <w:pPr>
              <w:autoSpaceDE w:val="0"/>
              <w:autoSpaceDN w:val="0"/>
              <w:adjustRightInd w:val="0"/>
              <w:snapToGrid w:val="0"/>
              <w:jc w:val="center"/>
              <w:rPr>
                <w:rFonts w:ascii="Times New Roman" w:hAnsi="Times New Roman" w:cs="Times New Roman"/>
                <w:sz w:val="18"/>
              </w:rPr>
            </w:pPr>
            <w:r w:rsidRPr="004B7EAE">
              <w:rPr>
                <w:rFonts w:ascii="Times New Roman" w:hAnsi="Times New Roman" w:cs="Times New Roman"/>
                <w:sz w:val="18"/>
              </w:rPr>
              <w:t>Glu 229</w:t>
            </w:r>
          </w:p>
          <w:p w14:paraId="3F72D4E1" w14:textId="77777777" w:rsidR="007E0271" w:rsidRPr="004B7EAE" w:rsidRDefault="007E0271" w:rsidP="00FE407B">
            <w:pPr>
              <w:autoSpaceDE w:val="0"/>
              <w:autoSpaceDN w:val="0"/>
              <w:adjustRightInd w:val="0"/>
              <w:snapToGrid w:val="0"/>
              <w:jc w:val="center"/>
              <w:rPr>
                <w:rFonts w:ascii="Times New Roman" w:hAnsi="Times New Roman" w:cs="Times New Roman"/>
                <w:sz w:val="18"/>
              </w:rPr>
            </w:pPr>
            <w:r w:rsidRPr="004B7EAE">
              <w:rPr>
                <w:rFonts w:ascii="Times New Roman" w:hAnsi="Times New Roman" w:cs="Times New Roman"/>
                <w:sz w:val="18"/>
              </w:rPr>
              <w:t>Arg 153</w:t>
            </w:r>
          </w:p>
          <w:p w14:paraId="335D9BF3"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Asp 152</w:t>
            </w:r>
          </w:p>
        </w:tc>
        <w:tc>
          <w:tcPr>
            <w:tcW w:w="1154" w:type="dxa"/>
            <w:shd w:val="clear" w:color="auto" w:fill="auto"/>
            <w:vAlign w:val="center"/>
          </w:tcPr>
          <w:p w14:paraId="29347572"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Lys 119</w:t>
            </w:r>
          </w:p>
          <w:p w14:paraId="5C8A6AC8" w14:textId="77777777" w:rsidR="007E0271" w:rsidRPr="00925C57" w:rsidRDefault="007E0271" w:rsidP="00FE407B">
            <w:pPr>
              <w:autoSpaceDE w:val="0"/>
              <w:autoSpaceDN w:val="0"/>
              <w:adjustRightInd w:val="0"/>
              <w:snapToGrid w:val="0"/>
              <w:jc w:val="center"/>
              <w:rPr>
                <w:rFonts w:ascii="Times New Roman" w:hAnsi="Times New Roman" w:cs="Times New Roman"/>
                <w:color w:val="000000" w:themeColor="text1"/>
                <w:sz w:val="18"/>
                <w:lang w:val="en-US"/>
              </w:rPr>
            </w:pPr>
            <w:r w:rsidRPr="00925C57">
              <w:rPr>
                <w:rFonts w:ascii="Times New Roman" w:hAnsi="Times New Roman" w:cs="Times New Roman"/>
                <w:color w:val="000000" w:themeColor="text1"/>
                <w:sz w:val="18"/>
                <w:lang w:val="en-US"/>
              </w:rPr>
              <w:t>Glu 120</w:t>
            </w:r>
          </w:p>
          <w:p w14:paraId="452F68BA"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Asp 152</w:t>
            </w:r>
          </w:p>
          <w:p w14:paraId="46D17AE4" w14:textId="77777777" w:rsidR="007E0271" w:rsidRPr="00925C57" w:rsidRDefault="007E0271" w:rsidP="00FE407B">
            <w:pPr>
              <w:autoSpaceDE w:val="0"/>
              <w:autoSpaceDN w:val="0"/>
              <w:adjustRightInd w:val="0"/>
              <w:snapToGrid w:val="0"/>
              <w:jc w:val="center"/>
              <w:rPr>
                <w:rFonts w:ascii="Times New Roman" w:hAnsi="Times New Roman" w:cs="Times New Roman"/>
                <w:color w:val="000000" w:themeColor="text1"/>
                <w:sz w:val="18"/>
                <w:lang w:val="en-US"/>
              </w:rPr>
            </w:pPr>
            <w:r w:rsidRPr="00925C57">
              <w:rPr>
                <w:rFonts w:ascii="Times New Roman" w:hAnsi="Times New Roman" w:cs="Times New Roman"/>
                <w:color w:val="000000" w:themeColor="text1"/>
                <w:sz w:val="18"/>
                <w:lang w:val="en-US"/>
              </w:rPr>
              <w:t>Glu 279</w:t>
            </w:r>
          </w:p>
          <w:p w14:paraId="6D645611"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Lys 372</w:t>
            </w:r>
          </w:p>
          <w:p w14:paraId="3D46B0D4"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Tyr 406</w:t>
            </w:r>
          </w:p>
        </w:tc>
      </w:tr>
      <w:tr w:rsidR="00FE407B" w:rsidRPr="00925C57" w14:paraId="65BEC193" w14:textId="77777777" w:rsidTr="00FE407B">
        <w:tc>
          <w:tcPr>
            <w:tcW w:w="825" w:type="dxa"/>
            <w:shd w:val="clear" w:color="auto" w:fill="auto"/>
            <w:vAlign w:val="center"/>
          </w:tcPr>
          <w:p w14:paraId="356CC30F"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Per.</w:t>
            </w:r>
          </w:p>
        </w:tc>
        <w:tc>
          <w:tcPr>
            <w:tcW w:w="1056" w:type="dxa"/>
            <w:shd w:val="clear" w:color="auto" w:fill="auto"/>
            <w:vAlign w:val="center"/>
          </w:tcPr>
          <w:p w14:paraId="2883F622"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Trp 180</w:t>
            </w:r>
          </w:p>
          <w:p w14:paraId="69864E77"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Glu 229</w:t>
            </w:r>
          </w:p>
          <w:p w14:paraId="607D1C72"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153</w:t>
            </w:r>
          </w:p>
          <w:p w14:paraId="3AB92CDD"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lastRenderedPageBreak/>
              <w:t>Asp 152</w:t>
            </w:r>
          </w:p>
          <w:p w14:paraId="6CFADFE4"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Arg 119</w:t>
            </w:r>
          </w:p>
          <w:p w14:paraId="6F6C2436"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372</w:t>
            </w:r>
          </w:p>
          <w:p w14:paraId="22B62B86"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294</w:t>
            </w:r>
          </w:p>
          <w:p w14:paraId="2D234FC8" w14:textId="73A67D32"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tc>
        <w:tc>
          <w:tcPr>
            <w:tcW w:w="1076" w:type="dxa"/>
            <w:shd w:val="clear" w:color="auto" w:fill="auto"/>
            <w:vAlign w:val="center"/>
          </w:tcPr>
          <w:p w14:paraId="3EB885DF"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lastRenderedPageBreak/>
              <w:t>Arg 119</w:t>
            </w:r>
          </w:p>
          <w:p w14:paraId="47F48A2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372</w:t>
            </w:r>
          </w:p>
          <w:p w14:paraId="0B65320C"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Asp 152</w:t>
            </w:r>
          </w:p>
          <w:p w14:paraId="443DA018"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lastRenderedPageBreak/>
              <w:t>Trp 180</w:t>
            </w:r>
          </w:p>
          <w:p w14:paraId="0B33993B"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Glu 229</w:t>
            </w:r>
          </w:p>
          <w:p w14:paraId="558A1E1C"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153</w:t>
            </w:r>
          </w:p>
        </w:tc>
        <w:tc>
          <w:tcPr>
            <w:tcW w:w="1205" w:type="dxa"/>
            <w:shd w:val="clear" w:color="auto" w:fill="auto"/>
            <w:vAlign w:val="center"/>
          </w:tcPr>
          <w:p w14:paraId="2EB2026C"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lastRenderedPageBreak/>
              <w:t>Trp 180</w:t>
            </w:r>
          </w:p>
          <w:p w14:paraId="7E13B270"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153</w:t>
            </w:r>
          </w:p>
          <w:p w14:paraId="54B15E4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294</w:t>
            </w:r>
          </w:p>
          <w:p w14:paraId="337AEA11"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lastRenderedPageBreak/>
              <w:t>Tyr 406</w:t>
            </w:r>
          </w:p>
          <w:p w14:paraId="0D7255F6"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372</w:t>
            </w:r>
          </w:p>
        </w:tc>
        <w:tc>
          <w:tcPr>
            <w:tcW w:w="1205" w:type="dxa"/>
            <w:shd w:val="clear" w:color="auto" w:fill="auto"/>
            <w:vAlign w:val="center"/>
          </w:tcPr>
          <w:p w14:paraId="7658724A"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lastRenderedPageBreak/>
              <w:t>Arg 153</w:t>
            </w:r>
          </w:p>
          <w:p w14:paraId="3A257C5E"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294</w:t>
            </w:r>
          </w:p>
          <w:p w14:paraId="4B20E2D0"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tc>
        <w:tc>
          <w:tcPr>
            <w:tcW w:w="1205" w:type="dxa"/>
            <w:shd w:val="clear" w:color="auto" w:fill="auto"/>
            <w:vAlign w:val="center"/>
          </w:tcPr>
          <w:p w14:paraId="47AA160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Asp 152</w:t>
            </w:r>
          </w:p>
          <w:p w14:paraId="631C3441"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372</w:t>
            </w:r>
          </w:p>
          <w:p w14:paraId="4C0D8B6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Lys 294</w:t>
            </w:r>
          </w:p>
          <w:p w14:paraId="3EAA2744"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lastRenderedPageBreak/>
              <w:t>Tyr 406</w:t>
            </w:r>
          </w:p>
        </w:tc>
        <w:tc>
          <w:tcPr>
            <w:tcW w:w="1049" w:type="dxa"/>
            <w:shd w:val="clear" w:color="auto" w:fill="auto"/>
            <w:vAlign w:val="center"/>
          </w:tcPr>
          <w:p w14:paraId="20B139AA"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lastRenderedPageBreak/>
              <w:t>Lys 294</w:t>
            </w:r>
          </w:p>
          <w:p w14:paraId="49FE000E"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Lys 372</w:t>
            </w:r>
          </w:p>
          <w:p w14:paraId="3054F600"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p w14:paraId="466E1A78"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lastRenderedPageBreak/>
              <w:t>Asp 152</w:t>
            </w:r>
          </w:p>
        </w:tc>
        <w:tc>
          <w:tcPr>
            <w:tcW w:w="1134" w:type="dxa"/>
            <w:shd w:val="clear" w:color="auto" w:fill="auto"/>
            <w:vAlign w:val="center"/>
          </w:tcPr>
          <w:p w14:paraId="08FA377A" w14:textId="77777777" w:rsidR="007E0271" w:rsidRPr="004B7EAE" w:rsidRDefault="007E0271" w:rsidP="00FE407B">
            <w:pPr>
              <w:autoSpaceDE w:val="0"/>
              <w:autoSpaceDN w:val="0"/>
              <w:adjustRightInd w:val="0"/>
              <w:snapToGrid w:val="0"/>
              <w:jc w:val="center"/>
              <w:rPr>
                <w:rFonts w:ascii="Times New Roman" w:hAnsi="Times New Roman" w:cs="Times New Roman"/>
                <w:sz w:val="18"/>
              </w:rPr>
            </w:pPr>
            <w:r w:rsidRPr="004B7EAE">
              <w:rPr>
                <w:rFonts w:ascii="Times New Roman" w:hAnsi="Times New Roman" w:cs="Times New Roman"/>
                <w:sz w:val="18"/>
              </w:rPr>
              <w:lastRenderedPageBreak/>
              <w:t>Glu 229</w:t>
            </w:r>
          </w:p>
          <w:p w14:paraId="022EFA8C" w14:textId="77777777" w:rsidR="007E0271" w:rsidRPr="004B7EAE" w:rsidRDefault="007E0271" w:rsidP="00FE407B">
            <w:pPr>
              <w:autoSpaceDE w:val="0"/>
              <w:autoSpaceDN w:val="0"/>
              <w:adjustRightInd w:val="0"/>
              <w:snapToGrid w:val="0"/>
              <w:jc w:val="center"/>
              <w:rPr>
                <w:rFonts w:ascii="Times New Roman" w:hAnsi="Times New Roman" w:cs="Times New Roman"/>
                <w:b/>
                <w:sz w:val="18"/>
              </w:rPr>
            </w:pPr>
            <w:proofErr w:type="spellStart"/>
            <w:r w:rsidRPr="004B7EAE">
              <w:rPr>
                <w:rFonts w:ascii="Times New Roman" w:hAnsi="Times New Roman" w:cs="Times New Roman"/>
                <w:b/>
                <w:sz w:val="18"/>
              </w:rPr>
              <w:t>Trp</w:t>
            </w:r>
            <w:proofErr w:type="spellEnd"/>
            <w:r w:rsidRPr="004B7EAE">
              <w:rPr>
                <w:rFonts w:ascii="Times New Roman" w:hAnsi="Times New Roman" w:cs="Times New Roman"/>
                <w:b/>
                <w:sz w:val="18"/>
              </w:rPr>
              <w:t xml:space="preserve"> 180</w:t>
            </w:r>
          </w:p>
          <w:p w14:paraId="5F4E7B50" w14:textId="77777777" w:rsidR="007E0271" w:rsidRPr="004B7EAE" w:rsidRDefault="007E0271" w:rsidP="00FE407B">
            <w:pPr>
              <w:autoSpaceDE w:val="0"/>
              <w:autoSpaceDN w:val="0"/>
              <w:adjustRightInd w:val="0"/>
              <w:snapToGrid w:val="0"/>
              <w:jc w:val="center"/>
              <w:rPr>
                <w:rFonts w:ascii="Times New Roman" w:hAnsi="Times New Roman" w:cs="Times New Roman"/>
                <w:b/>
                <w:sz w:val="18"/>
              </w:rPr>
            </w:pPr>
            <w:r w:rsidRPr="004B7EAE">
              <w:rPr>
                <w:rFonts w:ascii="Times New Roman" w:hAnsi="Times New Roman" w:cs="Times New Roman"/>
                <w:b/>
                <w:sz w:val="18"/>
              </w:rPr>
              <w:t>Arg 153</w:t>
            </w:r>
          </w:p>
          <w:p w14:paraId="60DD9D94" w14:textId="77777777" w:rsidR="007E0271" w:rsidRPr="004B7EAE" w:rsidRDefault="007E0271" w:rsidP="00FE407B">
            <w:pPr>
              <w:autoSpaceDE w:val="0"/>
              <w:autoSpaceDN w:val="0"/>
              <w:adjustRightInd w:val="0"/>
              <w:snapToGrid w:val="0"/>
              <w:jc w:val="center"/>
              <w:rPr>
                <w:rFonts w:ascii="Times New Roman" w:hAnsi="Times New Roman" w:cs="Times New Roman"/>
                <w:b/>
                <w:sz w:val="18"/>
              </w:rPr>
            </w:pPr>
            <w:r w:rsidRPr="004B7EAE">
              <w:rPr>
                <w:rFonts w:ascii="Times New Roman" w:hAnsi="Times New Roman" w:cs="Times New Roman"/>
                <w:b/>
                <w:sz w:val="18"/>
              </w:rPr>
              <w:lastRenderedPageBreak/>
              <w:t>Tyr 406</w:t>
            </w:r>
          </w:p>
          <w:p w14:paraId="30F32EBA" w14:textId="77777777" w:rsidR="007E0271" w:rsidRPr="004B7EAE" w:rsidRDefault="007E0271" w:rsidP="00FE407B">
            <w:pPr>
              <w:autoSpaceDE w:val="0"/>
              <w:autoSpaceDN w:val="0"/>
              <w:adjustRightInd w:val="0"/>
              <w:snapToGrid w:val="0"/>
              <w:jc w:val="center"/>
              <w:rPr>
                <w:rFonts w:ascii="Times New Roman" w:hAnsi="Times New Roman" w:cs="Times New Roman"/>
                <w:b/>
                <w:sz w:val="18"/>
              </w:rPr>
            </w:pPr>
            <w:r w:rsidRPr="004B7EAE">
              <w:rPr>
                <w:rFonts w:ascii="Times New Roman" w:hAnsi="Times New Roman" w:cs="Times New Roman"/>
                <w:b/>
                <w:sz w:val="18"/>
              </w:rPr>
              <w:t xml:space="preserve">Arg 294 </w:t>
            </w:r>
          </w:p>
        </w:tc>
        <w:tc>
          <w:tcPr>
            <w:tcW w:w="1154" w:type="dxa"/>
            <w:shd w:val="clear" w:color="auto" w:fill="auto"/>
            <w:vAlign w:val="center"/>
          </w:tcPr>
          <w:p w14:paraId="7C5467FD"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lastRenderedPageBreak/>
              <w:t>Lys 119</w:t>
            </w:r>
          </w:p>
          <w:p w14:paraId="4D264D9F"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Lys 294</w:t>
            </w:r>
          </w:p>
          <w:p w14:paraId="517C9837"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p w14:paraId="33E84C73"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lastRenderedPageBreak/>
              <w:t>Glu 120</w:t>
            </w:r>
          </w:p>
          <w:p w14:paraId="71C9A2C7"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Asp 152</w:t>
            </w:r>
          </w:p>
          <w:p w14:paraId="5F76A5AD"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sz w:val="18"/>
                <w:lang w:val="en-US"/>
              </w:rPr>
              <w:t>Lys 372</w:t>
            </w:r>
          </w:p>
        </w:tc>
      </w:tr>
      <w:tr w:rsidR="00FE407B" w:rsidRPr="00925C57" w14:paraId="338AEB84" w14:textId="77777777" w:rsidTr="00FE407B">
        <w:tc>
          <w:tcPr>
            <w:tcW w:w="825" w:type="dxa"/>
            <w:shd w:val="clear" w:color="auto" w:fill="auto"/>
            <w:vAlign w:val="center"/>
          </w:tcPr>
          <w:p w14:paraId="62151B8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lastRenderedPageBreak/>
              <w:t>Lan.</w:t>
            </w:r>
          </w:p>
        </w:tc>
        <w:tc>
          <w:tcPr>
            <w:tcW w:w="1056" w:type="dxa"/>
            <w:shd w:val="clear" w:color="auto" w:fill="auto"/>
            <w:vAlign w:val="center"/>
          </w:tcPr>
          <w:p w14:paraId="5ECE4FA1" w14:textId="77777777" w:rsidR="007E0271" w:rsidRPr="002E0011" w:rsidRDefault="007E0271" w:rsidP="00FE407B">
            <w:pPr>
              <w:autoSpaceDE w:val="0"/>
              <w:autoSpaceDN w:val="0"/>
              <w:adjustRightInd w:val="0"/>
              <w:snapToGrid w:val="0"/>
              <w:jc w:val="center"/>
              <w:rPr>
                <w:rFonts w:ascii="Times New Roman" w:hAnsi="Times New Roman" w:cs="Times New Roman"/>
                <w:sz w:val="18"/>
              </w:rPr>
            </w:pPr>
            <w:r w:rsidRPr="002E0011">
              <w:rPr>
                <w:rFonts w:ascii="Times New Roman" w:hAnsi="Times New Roman" w:cs="Times New Roman"/>
                <w:sz w:val="18"/>
              </w:rPr>
              <w:t>Arg 226</w:t>
            </w:r>
          </w:p>
          <w:p w14:paraId="2BD1ACCE" w14:textId="77777777" w:rsidR="007E0271" w:rsidRPr="002E0011" w:rsidRDefault="007E0271" w:rsidP="00FE407B">
            <w:pPr>
              <w:autoSpaceDE w:val="0"/>
              <w:autoSpaceDN w:val="0"/>
              <w:adjustRightInd w:val="0"/>
              <w:snapToGrid w:val="0"/>
              <w:jc w:val="center"/>
              <w:rPr>
                <w:rFonts w:ascii="Times New Roman" w:hAnsi="Times New Roman" w:cs="Times New Roman"/>
                <w:sz w:val="18"/>
              </w:rPr>
            </w:pPr>
            <w:r w:rsidRPr="002E0011">
              <w:rPr>
                <w:rFonts w:ascii="Times New Roman" w:hAnsi="Times New Roman" w:cs="Times New Roman"/>
                <w:sz w:val="18"/>
              </w:rPr>
              <w:t>Glu 279</w:t>
            </w:r>
          </w:p>
          <w:p w14:paraId="25DF2218" w14:textId="77777777" w:rsidR="007E0271" w:rsidRPr="002E0011" w:rsidRDefault="007E0271" w:rsidP="00FE407B">
            <w:pPr>
              <w:autoSpaceDE w:val="0"/>
              <w:autoSpaceDN w:val="0"/>
              <w:adjustRightInd w:val="0"/>
              <w:snapToGrid w:val="0"/>
              <w:jc w:val="center"/>
              <w:rPr>
                <w:rFonts w:ascii="Times New Roman" w:hAnsi="Times New Roman" w:cs="Times New Roman"/>
                <w:b/>
                <w:sz w:val="18"/>
              </w:rPr>
            </w:pPr>
            <w:r w:rsidRPr="002E0011">
              <w:rPr>
                <w:rFonts w:ascii="Times New Roman" w:hAnsi="Times New Roman" w:cs="Times New Roman"/>
                <w:b/>
                <w:sz w:val="18"/>
              </w:rPr>
              <w:t>Arg 372</w:t>
            </w:r>
          </w:p>
          <w:p w14:paraId="7C2BC297" w14:textId="77777777" w:rsidR="007E0271" w:rsidRPr="002E0011" w:rsidRDefault="007E0271" w:rsidP="00FE407B">
            <w:pPr>
              <w:autoSpaceDE w:val="0"/>
              <w:autoSpaceDN w:val="0"/>
              <w:adjustRightInd w:val="0"/>
              <w:snapToGrid w:val="0"/>
              <w:jc w:val="center"/>
              <w:rPr>
                <w:rFonts w:ascii="Times New Roman" w:hAnsi="Times New Roman" w:cs="Times New Roman"/>
                <w:sz w:val="18"/>
              </w:rPr>
            </w:pPr>
            <w:r w:rsidRPr="002E0011">
              <w:rPr>
                <w:rFonts w:ascii="Times New Roman" w:hAnsi="Times New Roman" w:cs="Times New Roman"/>
                <w:sz w:val="18"/>
              </w:rPr>
              <w:t>Glu 229</w:t>
            </w:r>
          </w:p>
          <w:p w14:paraId="35D50CD3" w14:textId="77777777" w:rsidR="007E0271" w:rsidRPr="002E0011" w:rsidRDefault="007E0271" w:rsidP="00FE407B">
            <w:pPr>
              <w:autoSpaceDE w:val="0"/>
              <w:autoSpaceDN w:val="0"/>
              <w:adjustRightInd w:val="0"/>
              <w:snapToGrid w:val="0"/>
              <w:jc w:val="center"/>
              <w:rPr>
                <w:rFonts w:ascii="Times New Roman" w:hAnsi="Times New Roman" w:cs="Times New Roman"/>
                <w:b/>
                <w:sz w:val="18"/>
              </w:rPr>
            </w:pPr>
            <w:r w:rsidRPr="002E0011">
              <w:rPr>
                <w:rFonts w:ascii="Times New Roman" w:hAnsi="Times New Roman" w:cs="Times New Roman"/>
                <w:b/>
                <w:sz w:val="18"/>
              </w:rPr>
              <w:t>Arg 294</w:t>
            </w:r>
          </w:p>
          <w:p w14:paraId="4959B8C5"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p w14:paraId="1212274D"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Glu 278</w:t>
            </w:r>
          </w:p>
          <w:p w14:paraId="5D7A5E42"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proofErr w:type="spellStart"/>
            <w:r w:rsidRPr="00925C57">
              <w:rPr>
                <w:rFonts w:ascii="Times New Roman" w:hAnsi="Times New Roman" w:cs="Times New Roman"/>
                <w:sz w:val="18"/>
                <w:lang w:val="en-US"/>
              </w:rPr>
              <w:t>Gly</w:t>
            </w:r>
            <w:proofErr w:type="spellEnd"/>
            <w:r w:rsidRPr="00925C57">
              <w:rPr>
                <w:rFonts w:ascii="Times New Roman" w:hAnsi="Times New Roman" w:cs="Times New Roman"/>
                <w:sz w:val="18"/>
                <w:lang w:val="en-US"/>
              </w:rPr>
              <w:t xml:space="preserve"> 349</w:t>
            </w:r>
          </w:p>
        </w:tc>
        <w:tc>
          <w:tcPr>
            <w:tcW w:w="1076" w:type="dxa"/>
            <w:shd w:val="clear" w:color="auto" w:fill="auto"/>
            <w:vAlign w:val="center"/>
          </w:tcPr>
          <w:p w14:paraId="3A7EE70A"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Arg 119</w:t>
            </w:r>
          </w:p>
          <w:p w14:paraId="3172350A"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372</w:t>
            </w:r>
          </w:p>
          <w:p w14:paraId="05698246"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Asp 152</w:t>
            </w:r>
          </w:p>
          <w:p w14:paraId="3BB76F67"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Trp 180</w:t>
            </w:r>
          </w:p>
          <w:p w14:paraId="07399033"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153</w:t>
            </w:r>
          </w:p>
          <w:p w14:paraId="465D9678"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Glu 278</w:t>
            </w:r>
          </w:p>
          <w:p w14:paraId="0F625E4D"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Lys 294</w:t>
            </w:r>
          </w:p>
          <w:p w14:paraId="4BC8683E"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p>
        </w:tc>
        <w:tc>
          <w:tcPr>
            <w:tcW w:w="1205" w:type="dxa"/>
            <w:shd w:val="clear" w:color="auto" w:fill="auto"/>
            <w:vAlign w:val="center"/>
          </w:tcPr>
          <w:p w14:paraId="6253FC2C" w14:textId="77777777" w:rsidR="007E0271" w:rsidRPr="004B7EAE" w:rsidRDefault="007E0271" w:rsidP="00FE407B">
            <w:pPr>
              <w:autoSpaceDE w:val="0"/>
              <w:autoSpaceDN w:val="0"/>
              <w:adjustRightInd w:val="0"/>
              <w:snapToGrid w:val="0"/>
              <w:jc w:val="center"/>
              <w:rPr>
                <w:rFonts w:ascii="Times New Roman" w:hAnsi="Times New Roman" w:cs="Times New Roman"/>
                <w:b/>
                <w:sz w:val="18"/>
              </w:rPr>
            </w:pPr>
            <w:proofErr w:type="spellStart"/>
            <w:r w:rsidRPr="004B7EAE">
              <w:rPr>
                <w:rFonts w:ascii="Times New Roman" w:hAnsi="Times New Roman" w:cs="Times New Roman"/>
                <w:b/>
                <w:sz w:val="18"/>
              </w:rPr>
              <w:t>Trp</w:t>
            </w:r>
            <w:proofErr w:type="spellEnd"/>
            <w:r w:rsidRPr="004B7EAE">
              <w:rPr>
                <w:rFonts w:ascii="Times New Roman" w:hAnsi="Times New Roman" w:cs="Times New Roman"/>
                <w:b/>
                <w:sz w:val="18"/>
              </w:rPr>
              <w:t xml:space="preserve"> 180</w:t>
            </w:r>
          </w:p>
          <w:p w14:paraId="4AFE022B" w14:textId="77777777" w:rsidR="007E0271" w:rsidRPr="004B7EAE" w:rsidRDefault="007E0271" w:rsidP="00FE407B">
            <w:pPr>
              <w:autoSpaceDE w:val="0"/>
              <w:autoSpaceDN w:val="0"/>
              <w:adjustRightInd w:val="0"/>
              <w:snapToGrid w:val="0"/>
              <w:jc w:val="center"/>
              <w:rPr>
                <w:rFonts w:ascii="Times New Roman" w:hAnsi="Times New Roman" w:cs="Times New Roman"/>
                <w:b/>
                <w:sz w:val="18"/>
              </w:rPr>
            </w:pPr>
            <w:r w:rsidRPr="004B7EAE">
              <w:rPr>
                <w:rFonts w:ascii="Times New Roman" w:hAnsi="Times New Roman" w:cs="Times New Roman"/>
                <w:b/>
                <w:sz w:val="18"/>
              </w:rPr>
              <w:t>Arg 153</w:t>
            </w:r>
          </w:p>
          <w:p w14:paraId="0DA611D4" w14:textId="77777777" w:rsidR="007E0271" w:rsidRPr="004B7EAE" w:rsidRDefault="007E0271" w:rsidP="00FE407B">
            <w:pPr>
              <w:autoSpaceDE w:val="0"/>
              <w:autoSpaceDN w:val="0"/>
              <w:adjustRightInd w:val="0"/>
              <w:snapToGrid w:val="0"/>
              <w:jc w:val="center"/>
              <w:rPr>
                <w:rFonts w:ascii="Times New Roman" w:hAnsi="Times New Roman" w:cs="Times New Roman"/>
                <w:b/>
                <w:sz w:val="18"/>
              </w:rPr>
            </w:pPr>
            <w:r w:rsidRPr="004B7EAE">
              <w:rPr>
                <w:rFonts w:ascii="Times New Roman" w:hAnsi="Times New Roman" w:cs="Times New Roman"/>
                <w:b/>
                <w:sz w:val="18"/>
              </w:rPr>
              <w:t>Glu 278</w:t>
            </w:r>
          </w:p>
          <w:p w14:paraId="37069C33" w14:textId="77777777" w:rsidR="007E0271" w:rsidRPr="004B7EAE" w:rsidRDefault="007E0271" w:rsidP="00FE407B">
            <w:pPr>
              <w:autoSpaceDE w:val="0"/>
              <w:autoSpaceDN w:val="0"/>
              <w:adjustRightInd w:val="0"/>
              <w:snapToGrid w:val="0"/>
              <w:jc w:val="center"/>
              <w:rPr>
                <w:rFonts w:ascii="Times New Roman" w:hAnsi="Times New Roman" w:cs="Times New Roman"/>
                <w:b/>
                <w:sz w:val="18"/>
              </w:rPr>
            </w:pPr>
            <w:r w:rsidRPr="004B7EAE">
              <w:rPr>
                <w:rFonts w:ascii="Times New Roman" w:hAnsi="Times New Roman" w:cs="Times New Roman"/>
                <w:b/>
                <w:sz w:val="18"/>
              </w:rPr>
              <w:t>Arg 294</w:t>
            </w:r>
          </w:p>
          <w:p w14:paraId="13A3347C" w14:textId="77777777" w:rsidR="007E0271" w:rsidRPr="004B7EAE" w:rsidRDefault="007E0271" w:rsidP="00FE407B">
            <w:pPr>
              <w:autoSpaceDE w:val="0"/>
              <w:autoSpaceDN w:val="0"/>
              <w:adjustRightInd w:val="0"/>
              <w:snapToGrid w:val="0"/>
              <w:jc w:val="center"/>
              <w:rPr>
                <w:rFonts w:ascii="Times New Roman" w:hAnsi="Times New Roman" w:cs="Times New Roman"/>
                <w:b/>
                <w:sz w:val="18"/>
              </w:rPr>
            </w:pPr>
            <w:r w:rsidRPr="004B7EAE">
              <w:rPr>
                <w:rFonts w:ascii="Times New Roman" w:hAnsi="Times New Roman" w:cs="Times New Roman"/>
                <w:b/>
                <w:sz w:val="18"/>
              </w:rPr>
              <w:t>Arg 372</w:t>
            </w:r>
          </w:p>
          <w:p w14:paraId="7721385C"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tc>
        <w:tc>
          <w:tcPr>
            <w:tcW w:w="1205" w:type="dxa"/>
            <w:shd w:val="clear" w:color="auto" w:fill="auto"/>
            <w:vAlign w:val="center"/>
          </w:tcPr>
          <w:p w14:paraId="507C0DEB" w14:textId="77777777" w:rsidR="007E0271" w:rsidRPr="00925C57" w:rsidRDefault="007E0271" w:rsidP="00FE407B">
            <w:pPr>
              <w:autoSpaceDE w:val="0"/>
              <w:autoSpaceDN w:val="0"/>
              <w:adjustRightInd w:val="0"/>
              <w:snapToGrid w:val="0"/>
              <w:jc w:val="center"/>
              <w:rPr>
                <w:rFonts w:ascii="Times New Roman" w:hAnsi="Times New Roman" w:cs="Times New Roman"/>
                <w:color w:val="000000" w:themeColor="text1"/>
                <w:sz w:val="18"/>
                <w:lang w:val="en-US"/>
              </w:rPr>
            </w:pPr>
            <w:r w:rsidRPr="00925C57">
              <w:rPr>
                <w:rFonts w:ascii="Times New Roman" w:hAnsi="Times New Roman" w:cs="Times New Roman"/>
                <w:color w:val="000000" w:themeColor="text1"/>
                <w:sz w:val="18"/>
                <w:lang w:val="en-US"/>
              </w:rPr>
              <w:t>Glu 278</w:t>
            </w:r>
          </w:p>
          <w:p w14:paraId="422ECACF"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Arg 294</w:t>
            </w:r>
          </w:p>
          <w:p w14:paraId="18274A42"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Trp 180</w:t>
            </w:r>
          </w:p>
          <w:p w14:paraId="36587E66"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Arg 153</w:t>
            </w:r>
          </w:p>
        </w:tc>
        <w:tc>
          <w:tcPr>
            <w:tcW w:w="1205" w:type="dxa"/>
            <w:shd w:val="clear" w:color="auto" w:fill="auto"/>
            <w:vAlign w:val="center"/>
          </w:tcPr>
          <w:p w14:paraId="7BF5E046"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Arg 372</w:t>
            </w:r>
          </w:p>
          <w:p w14:paraId="22A9D9BD"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Glu 278</w:t>
            </w:r>
          </w:p>
          <w:p w14:paraId="6912E852"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Lys 294</w:t>
            </w:r>
          </w:p>
          <w:p w14:paraId="156788A1" w14:textId="77777777" w:rsidR="007E0271" w:rsidRPr="00925C57" w:rsidRDefault="007E0271" w:rsidP="00FE407B">
            <w:pPr>
              <w:autoSpaceDE w:val="0"/>
              <w:autoSpaceDN w:val="0"/>
              <w:adjustRightInd w:val="0"/>
              <w:snapToGrid w:val="0"/>
              <w:jc w:val="center"/>
              <w:rPr>
                <w:rFonts w:ascii="Times New Roman" w:hAnsi="Times New Roman" w:cs="Times New Roman"/>
                <w:color w:val="000000" w:themeColor="text1"/>
                <w:sz w:val="18"/>
                <w:lang w:val="en-US"/>
              </w:rPr>
            </w:pPr>
          </w:p>
        </w:tc>
        <w:tc>
          <w:tcPr>
            <w:tcW w:w="1049" w:type="dxa"/>
            <w:shd w:val="clear" w:color="auto" w:fill="auto"/>
            <w:vAlign w:val="center"/>
          </w:tcPr>
          <w:p w14:paraId="3FF13F1D"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Glu 278</w:t>
            </w:r>
          </w:p>
          <w:p w14:paraId="250EFEF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Lys 294</w:t>
            </w:r>
          </w:p>
          <w:p w14:paraId="4B585C37"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Arg 119</w:t>
            </w:r>
          </w:p>
          <w:p w14:paraId="17D687F1"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153</w:t>
            </w:r>
          </w:p>
          <w:p w14:paraId="1C29F9DA"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Trp 180</w:t>
            </w:r>
          </w:p>
          <w:p w14:paraId="1162D6BF"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Asp 152</w:t>
            </w:r>
          </w:p>
        </w:tc>
        <w:tc>
          <w:tcPr>
            <w:tcW w:w="1134" w:type="dxa"/>
            <w:shd w:val="clear" w:color="auto" w:fill="auto"/>
            <w:vAlign w:val="center"/>
          </w:tcPr>
          <w:p w14:paraId="17D519DB" w14:textId="77777777" w:rsidR="007E0271" w:rsidRPr="002E0011" w:rsidRDefault="007E0271" w:rsidP="00FE407B">
            <w:pPr>
              <w:autoSpaceDE w:val="0"/>
              <w:autoSpaceDN w:val="0"/>
              <w:adjustRightInd w:val="0"/>
              <w:snapToGrid w:val="0"/>
              <w:jc w:val="center"/>
              <w:rPr>
                <w:rFonts w:ascii="Times New Roman" w:hAnsi="Times New Roman" w:cs="Times New Roman"/>
                <w:b/>
                <w:sz w:val="18"/>
              </w:rPr>
            </w:pPr>
            <w:r w:rsidRPr="002E0011">
              <w:rPr>
                <w:rFonts w:ascii="Times New Roman" w:hAnsi="Times New Roman" w:cs="Times New Roman"/>
                <w:b/>
                <w:sz w:val="18"/>
              </w:rPr>
              <w:t>Tyr 406</w:t>
            </w:r>
          </w:p>
          <w:p w14:paraId="654DB070" w14:textId="77777777" w:rsidR="007E0271" w:rsidRPr="002E0011" w:rsidRDefault="007E0271" w:rsidP="00FE407B">
            <w:pPr>
              <w:autoSpaceDE w:val="0"/>
              <w:autoSpaceDN w:val="0"/>
              <w:adjustRightInd w:val="0"/>
              <w:snapToGrid w:val="0"/>
              <w:jc w:val="center"/>
              <w:rPr>
                <w:rFonts w:ascii="Times New Roman" w:hAnsi="Times New Roman" w:cs="Times New Roman"/>
                <w:b/>
                <w:sz w:val="18"/>
              </w:rPr>
            </w:pPr>
            <w:r w:rsidRPr="002E0011">
              <w:rPr>
                <w:rFonts w:ascii="Times New Roman" w:hAnsi="Times New Roman" w:cs="Times New Roman"/>
                <w:b/>
                <w:sz w:val="18"/>
              </w:rPr>
              <w:t>Arg 294</w:t>
            </w:r>
          </w:p>
          <w:p w14:paraId="70769645" w14:textId="77777777" w:rsidR="007E0271" w:rsidRPr="002E0011" w:rsidRDefault="007E0271" w:rsidP="00FE407B">
            <w:pPr>
              <w:autoSpaceDE w:val="0"/>
              <w:autoSpaceDN w:val="0"/>
              <w:adjustRightInd w:val="0"/>
              <w:snapToGrid w:val="0"/>
              <w:jc w:val="center"/>
              <w:rPr>
                <w:rFonts w:ascii="Times New Roman" w:hAnsi="Times New Roman" w:cs="Times New Roman"/>
                <w:b/>
                <w:sz w:val="18"/>
              </w:rPr>
            </w:pPr>
            <w:r w:rsidRPr="002E0011">
              <w:rPr>
                <w:rFonts w:ascii="Times New Roman" w:hAnsi="Times New Roman" w:cs="Times New Roman"/>
                <w:b/>
                <w:sz w:val="18"/>
              </w:rPr>
              <w:t>Glu 278</w:t>
            </w:r>
          </w:p>
          <w:p w14:paraId="106FD040" w14:textId="77777777" w:rsidR="007E0271" w:rsidRPr="002E0011" w:rsidRDefault="007E0271" w:rsidP="00FE407B">
            <w:pPr>
              <w:autoSpaceDE w:val="0"/>
              <w:autoSpaceDN w:val="0"/>
              <w:adjustRightInd w:val="0"/>
              <w:snapToGrid w:val="0"/>
              <w:jc w:val="center"/>
              <w:rPr>
                <w:rFonts w:ascii="Times New Roman" w:hAnsi="Times New Roman" w:cs="Times New Roman"/>
                <w:b/>
                <w:sz w:val="18"/>
              </w:rPr>
            </w:pPr>
            <w:r w:rsidRPr="002E0011">
              <w:rPr>
                <w:rFonts w:ascii="Times New Roman" w:hAnsi="Times New Roman" w:cs="Times New Roman"/>
                <w:b/>
                <w:sz w:val="18"/>
              </w:rPr>
              <w:t>Arg 153</w:t>
            </w:r>
          </w:p>
          <w:p w14:paraId="2C94F268" w14:textId="77777777" w:rsidR="007E0271" w:rsidRPr="002E0011" w:rsidRDefault="007E0271" w:rsidP="00FE407B">
            <w:pPr>
              <w:autoSpaceDE w:val="0"/>
              <w:autoSpaceDN w:val="0"/>
              <w:adjustRightInd w:val="0"/>
              <w:snapToGrid w:val="0"/>
              <w:jc w:val="center"/>
              <w:rPr>
                <w:rFonts w:ascii="Times New Roman" w:hAnsi="Times New Roman" w:cs="Times New Roman"/>
                <w:sz w:val="18"/>
              </w:rPr>
            </w:pPr>
            <w:r w:rsidRPr="002E0011">
              <w:rPr>
                <w:rFonts w:ascii="Times New Roman" w:hAnsi="Times New Roman" w:cs="Times New Roman"/>
                <w:sz w:val="18"/>
              </w:rPr>
              <w:t>Glu 229</w:t>
            </w:r>
          </w:p>
          <w:p w14:paraId="69243A5F"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Asp 152</w:t>
            </w:r>
          </w:p>
        </w:tc>
        <w:tc>
          <w:tcPr>
            <w:tcW w:w="1154" w:type="dxa"/>
            <w:shd w:val="clear" w:color="auto" w:fill="auto"/>
            <w:vAlign w:val="center"/>
          </w:tcPr>
          <w:p w14:paraId="2DE0505D"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Lys 119</w:t>
            </w:r>
          </w:p>
          <w:p w14:paraId="1177D14F"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Glu 120</w:t>
            </w:r>
          </w:p>
          <w:p w14:paraId="3CA58F27"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Lys 351</w:t>
            </w:r>
          </w:p>
          <w:p w14:paraId="3671A1A3"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Lys 372</w:t>
            </w:r>
          </w:p>
          <w:p w14:paraId="4052B538"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p w14:paraId="3FFEF85D"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Glu 427</w:t>
            </w:r>
          </w:p>
        </w:tc>
      </w:tr>
      <w:tr w:rsidR="00FE407B" w:rsidRPr="00925C57" w14:paraId="02B9D44F" w14:textId="77777777" w:rsidTr="00FE407B">
        <w:tc>
          <w:tcPr>
            <w:tcW w:w="825" w:type="dxa"/>
            <w:shd w:val="clear" w:color="auto" w:fill="auto"/>
            <w:vAlign w:val="center"/>
          </w:tcPr>
          <w:p w14:paraId="7379F7B9" w14:textId="77777777" w:rsidR="007E0271" w:rsidRPr="00925C57" w:rsidRDefault="007E0271" w:rsidP="00FE407B">
            <w:pPr>
              <w:autoSpaceDE w:val="0"/>
              <w:autoSpaceDN w:val="0"/>
              <w:adjustRightInd w:val="0"/>
              <w:snapToGrid w:val="0"/>
              <w:jc w:val="center"/>
              <w:rPr>
                <w:rFonts w:ascii="Times New Roman" w:hAnsi="Times New Roman" w:cs="Times New Roman"/>
                <w:b/>
                <w:sz w:val="18"/>
                <w:szCs w:val="20"/>
                <w:lang w:val="en-US"/>
              </w:rPr>
            </w:pPr>
            <w:r w:rsidRPr="00925C57">
              <w:rPr>
                <w:rFonts w:ascii="Times New Roman" w:hAnsi="Times New Roman" w:cs="Times New Roman"/>
                <w:b/>
                <w:sz w:val="18"/>
                <w:szCs w:val="20"/>
                <w:lang w:val="en-US"/>
              </w:rPr>
              <w:t>L-Arg.</w:t>
            </w:r>
          </w:p>
        </w:tc>
        <w:tc>
          <w:tcPr>
            <w:tcW w:w="1056" w:type="dxa"/>
            <w:shd w:val="clear" w:color="auto" w:fill="auto"/>
            <w:vAlign w:val="center"/>
          </w:tcPr>
          <w:p w14:paraId="29216D11" w14:textId="77777777" w:rsidR="007E0271" w:rsidRPr="004B7EAE" w:rsidRDefault="007E0271" w:rsidP="00FE407B">
            <w:pPr>
              <w:autoSpaceDE w:val="0"/>
              <w:autoSpaceDN w:val="0"/>
              <w:adjustRightInd w:val="0"/>
              <w:snapToGrid w:val="0"/>
              <w:jc w:val="center"/>
              <w:rPr>
                <w:rFonts w:ascii="Times New Roman" w:hAnsi="Times New Roman" w:cs="Times New Roman"/>
                <w:sz w:val="18"/>
              </w:rPr>
            </w:pPr>
            <w:r w:rsidRPr="004B7EAE">
              <w:rPr>
                <w:rFonts w:ascii="Times New Roman" w:hAnsi="Times New Roman" w:cs="Times New Roman"/>
                <w:sz w:val="18"/>
              </w:rPr>
              <w:t>Arg 294</w:t>
            </w:r>
          </w:p>
          <w:p w14:paraId="0261FE92" w14:textId="77777777" w:rsidR="007E0271" w:rsidRPr="004B7EAE" w:rsidRDefault="007E0271" w:rsidP="00FE407B">
            <w:pPr>
              <w:autoSpaceDE w:val="0"/>
              <w:autoSpaceDN w:val="0"/>
              <w:adjustRightInd w:val="0"/>
              <w:snapToGrid w:val="0"/>
              <w:jc w:val="center"/>
              <w:rPr>
                <w:rFonts w:ascii="Times New Roman" w:hAnsi="Times New Roman" w:cs="Times New Roman"/>
                <w:sz w:val="18"/>
              </w:rPr>
            </w:pPr>
            <w:r w:rsidRPr="004B7EAE">
              <w:rPr>
                <w:rFonts w:ascii="Times New Roman" w:hAnsi="Times New Roman" w:cs="Times New Roman"/>
                <w:sz w:val="18"/>
              </w:rPr>
              <w:t>Arg 372</w:t>
            </w:r>
          </w:p>
          <w:p w14:paraId="046FCEE8" w14:textId="77777777" w:rsidR="007E0271" w:rsidRPr="004B7EAE" w:rsidRDefault="007E0271" w:rsidP="00FE407B">
            <w:pPr>
              <w:autoSpaceDE w:val="0"/>
              <w:autoSpaceDN w:val="0"/>
              <w:adjustRightInd w:val="0"/>
              <w:snapToGrid w:val="0"/>
              <w:jc w:val="center"/>
              <w:rPr>
                <w:rFonts w:ascii="Times New Roman" w:hAnsi="Times New Roman" w:cs="Times New Roman"/>
                <w:sz w:val="18"/>
              </w:rPr>
            </w:pPr>
            <w:r w:rsidRPr="004B7EAE">
              <w:rPr>
                <w:rFonts w:ascii="Times New Roman" w:hAnsi="Times New Roman" w:cs="Times New Roman"/>
                <w:sz w:val="18"/>
              </w:rPr>
              <w:t>Glu 229</w:t>
            </w:r>
          </w:p>
          <w:p w14:paraId="50613FAC" w14:textId="77777777" w:rsidR="007E0271" w:rsidRPr="004B7EAE" w:rsidRDefault="007E0271" w:rsidP="00FE407B">
            <w:pPr>
              <w:autoSpaceDE w:val="0"/>
              <w:autoSpaceDN w:val="0"/>
              <w:adjustRightInd w:val="0"/>
              <w:snapToGrid w:val="0"/>
              <w:jc w:val="center"/>
              <w:rPr>
                <w:rFonts w:ascii="Times New Roman" w:hAnsi="Times New Roman" w:cs="Times New Roman"/>
                <w:b/>
                <w:sz w:val="18"/>
              </w:rPr>
            </w:pPr>
            <w:proofErr w:type="spellStart"/>
            <w:r w:rsidRPr="004B7EAE">
              <w:rPr>
                <w:rFonts w:ascii="Times New Roman" w:hAnsi="Times New Roman" w:cs="Times New Roman"/>
                <w:b/>
                <w:sz w:val="18"/>
              </w:rPr>
              <w:t>Trp</w:t>
            </w:r>
            <w:proofErr w:type="spellEnd"/>
            <w:r w:rsidRPr="004B7EAE">
              <w:rPr>
                <w:rFonts w:ascii="Times New Roman" w:hAnsi="Times New Roman" w:cs="Times New Roman"/>
                <w:b/>
                <w:sz w:val="18"/>
              </w:rPr>
              <w:t xml:space="preserve"> 180</w:t>
            </w:r>
          </w:p>
          <w:p w14:paraId="3DD48C75" w14:textId="77777777" w:rsidR="007E0271" w:rsidRPr="004B7EAE" w:rsidRDefault="007E0271" w:rsidP="00FE407B">
            <w:pPr>
              <w:autoSpaceDE w:val="0"/>
              <w:autoSpaceDN w:val="0"/>
              <w:adjustRightInd w:val="0"/>
              <w:snapToGrid w:val="0"/>
              <w:jc w:val="center"/>
              <w:rPr>
                <w:rFonts w:ascii="Times New Roman" w:hAnsi="Times New Roman" w:cs="Times New Roman"/>
                <w:b/>
                <w:sz w:val="18"/>
              </w:rPr>
            </w:pPr>
            <w:r w:rsidRPr="004B7EAE">
              <w:rPr>
                <w:rFonts w:ascii="Times New Roman" w:hAnsi="Times New Roman" w:cs="Times New Roman"/>
                <w:b/>
                <w:sz w:val="18"/>
              </w:rPr>
              <w:t>Asp 152</w:t>
            </w:r>
          </w:p>
          <w:p w14:paraId="1E1D2D09" w14:textId="77777777" w:rsidR="007E0271" w:rsidRPr="004B7EAE" w:rsidRDefault="007E0271" w:rsidP="00FE407B">
            <w:pPr>
              <w:autoSpaceDE w:val="0"/>
              <w:autoSpaceDN w:val="0"/>
              <w:adjustRightInd w:val="0"/>
              <w:snapToGrid w:val="0"/>
              <w:jc w:val="center"/>
              <w:rPr>
                <w:rFonts w:ascii="Times New Roman" w:hAnsi="Times New Roman" w:cs="Times New Roman"/>
                <w:sz w:val="18"/>
              </w:rPr>
            </w:pPr>
          </w:p>
        </w:tc>
        <w:tc>
          <w:tcPr>
            <w:tcW w:w="1076" w:type="dxa"/>
            <w:shd w:val="clear" w:color="auto" w:fill="auto"/>
            <w:vAlign w:val="center"/>
          </w:tcPr>
          <w:p w14:paraId="60558583"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proofErr w:type="spellStart"/>
            <w:r w:rsidRPr="00925C57">
              <w:rPr>
                <w:rFonts w:ascii="Times New Roman" w:hAnsi="Times New Roman" w:cs="Times New Roman"/>
                <w:b/>
                <w:sz w:val="18"/>
                <w:lang w:val="en-US"/>
              </w:rPr>
              <w:t>Trp</w:t>
            </w:r>
            <w:proofErr w:type="spellEnd"/>
            <w:r w:rsidRPr="00925C57">
              <w:rPr>
                <w:rFonts w:ascii="Times New Roman" w:hAnsi="Times New Roman" w:cs="Times New Roman"/>
                <w:b/>
                <w:sz w:val="18"/>
                <w:lang w:val="en-US"/>
              </w:rPr>
              <w:t xml:space="preserve"> 180</w:t>
            </w:r>
          </w:p>
          <w:p w14:paraId="4BEFEB3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Asp 152</w:t>
            </w:r>
          </w:p>
          <w:p w14:paraId="4E1FD47B"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p w14:paraId="3627464E"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Arg 372</w:t>
            </w:r>
          </w:p>
          <w:p w14:paraId="1BC0ED17"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Arg 119</w:t>
            </w:r>
          </w:p>
        </w:tc>
        <w:tc>
          <w:tcPr>
            <w:tcW w:w="1205" w:type="dxa"/>
            <w:shd w:val="clear" w:color="auto" w:fill="auto"/>
            <w:vAlign w:val="center"/>
          </w:tcPr>
          <w:p w14:paraId="53543B2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Trp 180</w:t>
            </w:r>
          </w:p>
          <w:p w14:paraId="616E6963"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Asp 152</w:t>
            </w:r>
          </w:p>
          <w:p w14:paraId="63CDDE78"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Arg 372</w:t>
            </w:r>
          </w:p>
          <w:p w14:paraId="6BDC83D3"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tc>
        <w:tc>
          <w:tcPr>
            <w:tcW w:w="1205" w:type="dxa"/>
            <w:shd w:val="clear" w:color="auto" w:fill="auto"/>
            <w:vAlign w:val="center"/>
          </w:tcPr>
          <w:p w14:paraId="05BA1484"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Trp 180</w:t>
            </w:r>
          </w:p>
          <w:p w14:paraId="4EB1BDEE" w14:textId="77777777" w:rsidR="007E0271" w:rsidRPr="00925C57" w:rsidRDefault="007E0271" w:rsidP="00FE407B">
            <w:pPr>
              <w:autoSpaceDE w:val="0"/>
              <w:autoSpaceDN w:val="0"/>
              <w:adjustRightInd w:val="0"/>
              <w:snapToGrid w:val="0"/>
              <w:jc w:val="center"/>
              <w:rPr>
                <w:rFonts w:ascii="Times New Roman" w:hAnsi="Times New Roman" w:cs="Times New Roman"/>
                <w:color w:val="000000" w:themeColor="text1"/>
                <w:sz w:val="18"/>
                <w:lang w:val="en-US"/>
              </w:rPr>
            </w:pPr>
            <w:r w:rsidRPr="00925C57">
              <w:rPr>
                <w:rFonts w:ascii="Times New Roman" w:hAnsi="Times New Roman" w:cs="Times New Roman"/>
                <w:color w:val="000000" w:themeColor="text1"/>
                <w:sz w:val="18"/>
                <w:lang w:val="en-US"/>
              </w:rPr>
              <w:t>Arg 153</w:t>
            </w:r>
          </w:p>
          <w:p w14:paraId="13D03339"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Tyr 406</w:t>
            </w:r>
          </w:p>
          <w:p w14:paraId="3549CA6E" w14:textId="77777777" w:rsidR="007E0271" w:rsidRPr="00925C57" w:rsidRDefault="007E0271" w:rsidP="00FE407B">
            <w:pPr>
              <w:autoSpaceDE w:val="0"/>
              <w:autoSpaceDN w:val="0"/>
              <w:adjustRightInd w:val="0"/>
              <w:snapToGrid w:val="0"/>
              <w:jc w:val="center"/>
              <w:rPr>
                <w:rFonts w:ascii="Times New Roman" w:hAnsi="Times New Roman" w:cs="Times New Roman"/>
                <w:color w:val="000000" w:themeColor="text1"/>
                <w:sz w:val="18"/>
                <w:lang w:val="en-US"/>
              </w:rPr>
            </w:pPr>
            <w:r w:rsidRPr="00925C57">
              <w:rPr>
                <w:rFonts w:ascii="Times New Roman" w:hAnsi="Times New Roman" w:cs="Times New Roman"/>
                <w:color w:val="000000" w:themeColor="text1"/>
                <w:sz w:val="18"/>
                <w:lang w:val="en-US"/>
              </w:rPr>
              <w:t>Arg 294</w:t>
            </w:r>
          </w:p>
        </w:tc>
        <w:tc>
          <w:tcPr>
            <w:tcW w:w="1205" w:type="dxa"/>
            <w:shd w:val="clear" w:color="auto" w:fill="auto"/>
            <w:vAlign w:val="center"/>
          </w:tcPr>
          <w:p w14:paraId="6AE7A4B1"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Tyr 406</w:t>
            </w:r>
          </w:p>
          <w:p w14:paraId="53A6061F" w14:textId="77777777" w:rsidR="007E0271" w:rsidRPr="00925C57" w:rsidRDefault="007E0271" w:rsidP="00FE407B">
            <w:pPr>
              <w:autoSpaceDE w:val="0"/>
              <w:autoSpaceDN w:val="0"/>
              <w:adjustRightInd w:val="0"/>
              <w:snapToGrid w:val="0"/>
              <w:jc w:val="center"/>
              <w:rPr>
                <w:rFonts w:ascii="Times New Roman" w:hAnsi="Times New Roman" w:cs="Times New Roman"/>
                <w:color w:val="000000" w:themeColor="text1"/>
                <w:sz w:val="18"/>
                <w:lang w:val="en-US"/>
              </w:rPr>
            </w:pPr>
            <w:r w:rsidRPr="00925C57">
              <w:rPr>
                <w:rFonts w:ascii="Times New Roman" w:hAnsi="Times New Roman" w:cs="Times New Roman"/>
                <w:color w:val="000000" w:themeColor="text1"/>
                <w:sz w:val="18"/>
                <w:lang w:val="en-US"/>
              </w:rPr>
              <w:t>Arg 153</w:t>
            </w:r>
          </w:p>
          <w:p w14:paraId="2345BBCA"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Asp 152</w:t>
            </w:r>
          </w:p>
          <w:p w14:paraId="4541F6C5"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Trp 180</w:t>
            </w:r>
          </w:p>
        </w:tc>
        <w:tc>
          <w:tcPr>
            <w:tcW w:w="1049" w:type="dxa"/>
            <w:shd w:val="clear" w:color="auto" w:fill="auto"/>
            <w:vAlign w:val="center"/>
          </w:tcPr>
          <w:p w14:paraId="0EA4BADC"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Trp 180</w:t>
            </w:r>
          </w:p>
          <w:p w14:paraId="60A154D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Asp 152</w:t>
            </w:r>
          </w:p>
          <w:p w14:paraId="2840FB40"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Arg 119</w:t>
            </w:r>
          </w:p>
        </w:tc>
        <w:tc>
          <w:tcPr>
            <w:tcW w:w="1134" w:type="dxa"/>
            <w:shd w:val="clear" w:color="auto" w:fill="auto"/>
            <w:vAlign w:val="center"/>
          </w:tcPr>
          <w:p w14:paraId="5FF387BC"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p w14:paraId="1CAB2E10"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Glu 229</w:t>
            </w:r>
          </w:p>
          <w:p w14:paraId="6E12CB77"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Asp 152</w:t>
            </w:r>
          </w:p>
          <w:p w14:paraId="62148226"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Arg 153</w:t>
            </w:r>
          </w:p>
          <w:p w14:paraId="47D1D7A0"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Trp 180</w:t>
            </w:r>
          </w:p>
          <w:p w14:paraId="5849FD93"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Lys 119</w:t>
            </w:r>
          </w:p>
        </w:tc>
        <w:tc>
          <w:tcPr>
            <w:tcW w:w="1154" w:type="dxa"/>
            <w:shd w:val="clear" w:color="auto" w:fill="auto"/>
            <w:vAlign w:val="center"/>
          </w:tcPr>
          <w:p w14:paraId="2991D22F"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Glu 120</w:t>
            </w:r>
          </w:p>
          <w:p w14:paraId="5A39307C"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p w14:paraId="5F05F5F6"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sz w:val="18"/>
                <w:lang w:val="en-US"/>
              </w:rPr>
              <w:t>Glu 427</w:t>
            </w:r>
          </w:p>
        </w:tc>
      </w:tr>
      <w:tr w:rsidR="00FE407B" w:rsidRPr="00325F80" w14:paraId="2A8680DF" w14:textId="77777777" w:rsidTr="00FE407B">
        <w:tc>
          <w:tcPr>
            <w:tcW w:w="825" w:type="dxa"/>
            <w:shd w:val="clear" w:color="auto" w:fill="auto"/>
            <w:vAlign w:val="center"/>
          </w:tcPr>
          <w:p w14:paraId="2E128A6E"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Bens.</w:t>
            </w:r>
          </w:p>
        </w:tc>
        <w:tc>
          <w:tcPr>
            <w:tcW w:w="1056" w:type="dxa"/>
            <w:shd w:val="clear" w:color="auto" w:fill="auto"/>
            <w:vAlign w:val="center"/>
          </w:tcPr>
          <w:p w14:paraId="18556C7E"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Trp 180</w:t>
            </w:r>
          </w:p>
          <w:p w14:paraId="202FCFAE"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Glu 229</w:t>
            </w:r>
          </w:p>
          <w:p w14:paraId="653EF8A3"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Asp 152</w:t>
            </w:r>
          </w:p>
          <w:p w14:paraId="3BD5686C"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p w14:paraId="0513BD99"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Arg 119</w:t>
            </w:r>
          </w:p>
          <w:p w14:paraId="615D3932"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Arg 372</w:t>
            </w:r>
          </w:p>
        </w:tc>
        <w:tc>
          <w:tcPr>
            <w:tcW w:w="1076" w:type="dxa"/>
            <w:shd w:val="clear" w:color="auto" w:fill="auto"/>
            <w:vAlign w:val="center"/>
          </w:tcPr>
          <w:p w14:paraId="50683038"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Arg 372</w:t>
            </w:r>
          </w:p>
          <w:p w14:paraId="480EB440"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Lys 294</w:t>
            </w:r>
          </w:p>
          <w:p w14:paraId="7725E845"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p w14:paraId="044C83ED"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Trp 180</w:t>
            </w:r>
          </w:p>
          <w:p w14:paraId="066DBB19"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Asp 152</w:t>
            </w:r>
          </w:p>
          <w:p w14:paraId="3AAF50B3"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Glu 229</w:t>
            </w:r>
          </w:p>
        </w:tc>
        <w:tc>
          <w:tcPr>
            <w:tcW w:w="1205" w:type="dxa"/>
            <w:shd w:val="clear" w:color="auto" w:fill="auto"/>
            <w:vAlign w:val="center"/>
          </w:tcPr>
          <w:p w14:paraId="72B7B9B7"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Trp 180</w:t>
            </w:r>
          </w:p>
          <w:p w14:paraId="0D5CA7C1"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Asp 152</w:t>
            </w:r>
          </w:p>
          <w:p w14:paraId="369C5DC6"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Lys 119</w:t>
            </w:r>
          </w:p>
          <w:p w14:paraId="27C6336C"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Arg 372</w:t>
            </w:r>
          </w:p>
          <w:p w14:paraId="79AF7C70"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tc>
        <w:tc>
          <w:tcPr>
            <w:tcW w:w="1205" w:type="dxa"/>
            <w:shd w:val="clear" w:color="auto" w:fill="auto"/>
            <w:vAlign w:val="center"/>
          </w:tcPr>
          <w:p w14:paraId="5C45DC75"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Trp 180</w:t>
            </w:r>
          </w:p>
          <w:p w14:paraId="7F27536F" w14:textId="77777777" w:rsidR="007E0271" w:rsidRPr="00925C57" w:rsidRDefault="007E0271" w:rsidP="00FE407B">
            <w:pPr>
              <w:autoSpaceDE w:val="0"/>
              <w:autoSpaceDN w:val="0"/>
              <w:adjustRightInd w:val="0"/>
              <w:snapToGrid w:val="0"/>
              <w:jc w:val="center"/>
              <w:rPr>
                <w:rFonts w:ascii="Times New Roman" w:hAnsi="Times New Roman" w:cs="Times New Roman"/>
                <w:color w:val="000000" w:themeColor="text1"/>
                <w:sz w:val="18"/>
                <w:lang w:val="en-US"/>
              </w:rPr>
            </w:pPr>
            <w:r w:rsidRPr="00925C57">
              <w:rPr>
                <w:rFonts w:ascii="Times New Roman" w:hAnsi="Times New Roman" w:cs="Times New Roman"/>
                <w:color w:val="000000" w:themeColor="text1"/>
                <w:sz w:val="18"/>
                <w:lang w:val="en-US"/>
              </w:rPr>
              <w:t>Arg 153</w:t>
            </w:r>
          </w:p>
          <w:p w14:paraId="22B8CED9"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Tyr 406</w:t>
            </w:r>
          </w:p>
          <w:p w14:paraId="26E428AF"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Arg 294</w:t>
            </w:r>
          </w:p>
        </w:tc>
        <w:tc>
          <w:tcPr>
            <w:tcW w:w="1205" w:type="dxa"/>
            <w:shd w:val="clear" w:color="auto" w:fill="auto"/>
            <w:vAlign w:val="center"/>
          </w:tcPr>
          <w:p w14:paraId="19F990DA"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Tyr 406</w:t>
            </w:r>
          </w:p>
          <w:p w14:paraId="1636B56B"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Lys 294</w:t>
            </w:r>
          </w:p>
          <w:p w14:paraId="4BDA8284" w14:textId="77777777" w:rsidR="007E0271" w:rsidRPr="00925C57" w:rsidRDefault="007E0271" w:rsidP="00FE407B">
            <w:pPr>
              <w:autoSpaceDE w:val="0"/>
              <w:autoSpaceDN w:val="0"/>
              <w:adjustRightInd w:val="0"/>
              <w:snapToGrid w:val="0"/>
              <w:jc w:val="center"/>
              <w:rPr>
                <w:rFonts w:ascii="Times New Roman" w:hAnsi="Times New Roman" w:cs="Times New Roman"/>
                <w:color w:val="000000" w:themeColor="text1"/>
                <w:sz w:val="18"/>
                <w:lang w:val="en-US"/>
              </w:rPr>
            </w:pPr>
            <w:r w:rsidRPr="00925C57">
              <w:rPr>
                <w:rFonts w:ascii="Times New Roman" w:hAnsi="Times New Roman" w:cs="Times New Roman"/>
                <w:color w:val="000000" w:themeColor="text1"/>
                <w:sz w:val="18"/>
                <w:lang w:val="en-US"/>
              </w:rPr>
              <w:t>Arg 153</w:t>
            </w:r>
          </w:p>
          <w:p w14:paraId="18CDE815"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Asp 152</w:t>
            </w:r>
          </w:p>
          <w:p w14:paraId="2E4D3736" w14:textId="77777777" w:rsidR="007E0271" w:rsidRPr="00925C57" w:rsidRDefault="007E0271" w:rsidP="00FE407B">
            <w:pPr>
              <w:autoSpaceDE w:val="0"/>
              <w:autoSpaceDN w:val="0"/>
              <w:adjustRightInd w:val="0"/>
              <w:snapToGrid w:val="0"/>
              <w:jc w:val="center"/>
              <w:rPr>
                <w:rFonts w:ascii="Times New Roman" w:hAnsi="Times New Roman" w:cs="Times New Roman"/>
                <w:b/>
                <w:color w:val="000000" w:themeColor="text1"/>
                <w:sz w:val="18"/>
                <w:lang w:val="en-US"/>
              </w:rPr>
            </w:pPr>
            <w:r w:rsidRPr="00925C57">
              <w:rPr>
                <w:rFonts w:ascii="Times New Roman" w:hAnsi="Times New Roman" w:cs="Times New Roman"/>
                <w:b/>
                <w:color w:val="000000" w:themeColor="text1"/>
                <w:sz w:val="18"/>
                <w:lang w:val="en-US"/>
              </w:rPr>
              <w:t>Trp 180</w:t>
            </w:r>
          </w:p>
          <w:p w14:paraId="634BD454" w14:textId="77777777" w:rsidR="007E0271" w:rsidRPr="00925C57" w:rsidRDefault="007E0271" w:rsidP="00FE407B">
            <w:pPr>
              <w:autoSpaceDE w:val="0"/>
              <w:autoSpaceDN w:val="0"/>
              <w:adjustRightInd w:val="0"/>
              <w:snapToGrid w:val="0"/>
              <w:jc w:val="center"/>
              <w:rPr>
                <w:rFonts w:ascii="Times New Roman" w:hAnsi="Times New Roman" w:cs="Times New Roman"/>
                <w:color w:val="000000" w:themeColor="text1"/>
                <w:sz w:val="18"/>
                <w:lang w:val="en-US"/>
              </w:rPr>
            </w:pPr>
          </w:p>
        </w:tc>
        <w:tc>
          <w:tcPr>
            <w:tcW w:w="1049" w:type="dxa"/>
            <w:shd w:val="clear" w:color="auto" w:fill="auto"/>
            <w:vAlign w:val="center"/>
          </w:tcPr>
          <w:p w14:paraId="6F1D7FD1"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Arg 153</w:t>
            </w:r>
          </w:p>
          <w:p w14:paraId="59BD64F1"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Trp 180</w:t>
            </w:r>
          </w:p>
          <w:p w14:paraId="51D660AB"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Glu 278</w:t>
            </w:r>
          </w:p>
          <w:p w14:paraId="28476846"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Lys 294</w:t>
            </w:r>
          </w:p>
          <w:p w14:paraId="56780B56"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tc>
        <w:tc>
          <w:tcPr>
            <w:tcW w:w="1134" w:type="dxa"/>
            <w:shd w:val="clear" w:color="auto" w:fill="auto"/>
            <w:vAlign w:val="center"/>
          </w:tcPr>
          <w:p w14:paraId="5657CE23"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Asp 152</w:t>
            </w:r>
          </w:p>
          <w:p w14:paraId="018C0423"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Trp 180</w:t>
            </w:r>
          </w:p>
          <w:p w14:paraId="73876A02"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Glu 229</w:t>
            </w:r>
          </w:p>
          <w:p w14:paraId="2CFAD0E1"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p w14:paraId="2D2C1A63"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Arg 294</w:t>
            </w:r>
          </w:p>
        </w:tc>
        <w:tc>
          <w:tcPr>
            <w:tcW w:w="1154" w:type="dxa"/>
            <w:shd w:val="clear" w:color="auto" w:fill="auto"/>
            <w:vAlign w:val="center"/>
          </w:tcPr>
          <w:p w14:paraId="0FFD08DB"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Trp 180</w:t>
            </w:r>
          </w:p>
          <w:p w14:paraId="79497892"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Arg 153</w:t>
            </w:r>
          </w:p>
          <w:p w14:paraId="12A37007"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Asp 152</w:t>
            </w:r>
          </w:p>
          <w:p w14:paraId="230D811B" w14:textId="77777777" w:rsidR="007E0271" w:rsidRPr="00925C57" w:rsidRDefault="007E0271" w:rsidP="00FE407B">
            <w:pPr>
              <w:autoSpaceDE w:val="0"/>
              <w:autoSpaceDN w:val="0"/>
              <w:adjustRightInd w:val="0"/>
              <w:snapToGrid w:val="0"/>
              <w:jc w:val="center"/>
              <w:rPr>
                <w:rFonts w:ascii="Times New Roman" w:hAnsi="Times New Roman" w:cs="Times New Roman"/>
                <w:b/>
                <w:sz w:val="18"/>
                <w:lang w:val="en-US"/>
              </w:rPr>
            </w:pPr>
            <w:r w:rsidRPr="00925C57">
              <w:rPr>
                <w:rFonts w:ascii="Times New Roman" w:hAnsi="Times New Roman" w:cs="Times New Roman"/>
                <w:b/>
                <w:sz w:val="18"/>
                <w:lang w:val="en-US"/>
              </w:rPr>
              <w:t>Tyr 406</w:t>
            </w:r>
          </w:p>
          <w:p w14:paraId="581EA400" w14:textId="77777777" w:rsidR="007E0271" w:rsidRPr="00925C57" w:rsidRDefault="007E0271" w:rsidP="00FE407B">
            <w:pPr>
              <w:autoSpaceDE w:val="0"/>
              <w:autoSpaceDN w:val="0"/>
              <w:adjustRightInd w:val="0"/>
              <w:snapToGrid w:val="0"/>
              <w:jc w:val="center"/>
              <w:rPr>
                <w:rFonts w:ascii="Times New Roman" w:hAnsi="Times New Roman" w:cs="Times New Roman"/>
                <w:sz w:val="18"/>
                <w:lang w:val="en-US"/>
              </w:rPr>
            </w:pPr>
            <w:r w:rsidRPr="00925C57">
              <w:rPr>
                <w:rFonts w:ascii="Times New Roman" w:hAnsi="Times New Roman" w:cs="Times New Roman"/>
                <w:sz w:val="18"/>
                <w:lang w:val="en-US"/>
              </w:rPr>
              <w:t>Lys 294</w:t>
            </w:r>
          </w:p>
        </w:tc>
      </w:tr>
    </w:tbl>
    <w:p w14:paraId="20060089" w14:textId="3D279D8D" w:rsidR="00124FBE" w:rsidRPr="00925C57" w:rsidRDefault="007E0271" w:rsidP="00FE407B">
      <w:pPr>
        <w:pStyle w:val="MDPI43tablefooter"/>
        <w:ind w:left="425" w:right="425"/>
        <w:jc w:val="both"/>
      </w:pPr>
      <w:r w:rsidRPr="00925C57">
        <w:rPr>
          <w:b/>
          <w:vertAlign w:val="superscript"/>
        </w:rPr>
        <w:t>1</w:t>
      </w:r>
      <w:r w:rsidR="000F7BC8" w:rsidRPr="00925C57">
        <w:t xml:space="preserve">Shown are the data for </w:t>
      </w:r>
      <w:r w:rsidR="0026545C" w:rsidRPr="00925C57">
        <w:t>Oseltamivir, Zanamivir, Peramivir, Laninamivir, L-Arginine and Benserazide hydrochloride w</w:t>
      </w:r>
      <w:r w:rsidR="00CA09F6" w:rsidRPr="00925C57">
        <w:t>ith respect to the wild type NA</w:t>
      </w:r>
      <w:r w:rsidR="0026545C" w:rsidRPr="00925C57">
        <w:t>s as well as single, dou</w:t>
      </w:r>
      <w:r w:rsidR="00BF4C83" w:rsidRPr="00925C57">
        <w:t>ble and triple R to K mutant.</w:t>
      </w:r>
      <w:r w:rsidR="00BD1111" w:rsidRPr="00925C57">
        <w:t xml:space="preserve"> The common residues from the catalytic domains of various NAs that are most frequently observed in H-bond formations with the</w:t>
      </w:r>
      <w:r w:rsidR="00124FBE" w:rsidRPr="00925C57">
        <w:t xml:space="preserve"> drugs are highlighted in bold.</w:t>
      </w:r>
    </w:p>
    <w:p w14:paraId="02DA6EAB" w14:textId="7E0B00B4" w:rsidR="00124FBE" w:rsidRPr="00925C57" w:rsidRDefault="00FE407B" w:rsidP="00FE407B">
      <w:pPr>
        <w:pStyle w:val="MDPI41tablecaption"/>
        <w:ind w:left="425" w:right="425"/>
        <w:jc w:val="center"/>
      </w:pPr>
      <w:r w:rsidRPr="00925C57">
        <w:rPr>
          <w:b/>
        </w:rPr>
        <w:t xml:space="preserve">Table 5. </w:t>
      </w:r>
      <w:r w:rsidR="00CA09F6" w:rsidRPr="00925C57">
        <w:t>Salt bridge interactions</w:t>
      </w:r>
      <w:r w:rsidR="007E0271" w:rsidRPr="00925C57">
        <w:rPr>
          <w:vertAlign w:val="superscript"/>
        </w:rPr>
        <w:t>1</w:t>
      </w:r>
      <w:r w:rsidR="00CA09F6" w:rsidRPr="00925C57">
        <w:t>.</w:t>
      </w:r>
    </w:p>
    <w:tbl>
      <w:tblPr>
        <w:tblStyle w:val="TableGrid"/>
        <w:tblW w:w="10465"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87"/>
        <w:gridCol w:w="1190"/>
        <w:gridCol w:w="1190"/>
        <w:gridCol w:w="1133"/>
        <w:gridCol w:w="1213"/>
        <w:gridCol w:w="1213"/>
        <w:gridCol w:w="1213"/>
        <w:gridCol w:w="1213"/>
        <w:gridCol w:w="1213"/>
      </w:tblGrid>
      <w:tr w:rsidR="00FE407B" w:rsidRPr="00925C57" w14:paraId="1360768B" w14:textId="77777777" w:rsidTr="00FE407B">
        <w:tc>
          <w:tcPr>
            <w:tcW w:w="857" w:type="dxa"/>
            <w:tcBorders>
              <w:top w:val="single" w:sz="8" w:space="0" w:color="auto"/>
              <w:bottom w:val="single" w:sz="4" w:space="0" w:color="auto"/>
            </w:tcBorders>
            <w:shd w:val="clear" w:color="auto" w:fill="auto"/>
            <w:vAlign w:val="center"/>
          </w:tcPr>
          <w:p w14:paraId="0F7ABBBA"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p>
        </w:tc>
        <w:tc>
          <w:tcPr>
            <w:tcW w:w="1149" w:type="dxa"/>
            <w:tcBorders>
              <w:top w:val="single" w:sz="8" w:space="0" w:color="auto"/>
              <w:bottom w:val="single" w:sz="4" w:space="0" w:color="auto"/>
            </w:tcBorders>
            <w:shd w:val="clear" w:color="auto" w:fill="auto"/>
            <w:vAlign w:val="center"/>
          </w:tcPr>
          <w:p w14:paraId="7280790D"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 (4MWQ)</w:t>
            </w:r>
          </w:p>
        </w:tc>
        <w:tc>
          <w:tcPr>
            <w:tcW w:w="1149" w:type="dxa"/>
            <w:tcBorders>
              <w:top w:val="single" w:sz="8" w:space="0" w:color="auto"/>
              <w:bottom w:val="single" w:sz="4" w:space="0" w:color="auto"/>
            </w:tcBorders>
            <w:shd w:val="clear" w:color="auto" w:fill="auto"/>
            <w:vAlign w:val="center"/>
          </w:tcPr>
          <w:p w14:paraId="45B0E78D"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R294K (4MWW)</w:t>
            </w:r>
          </w:p>
        </w:tc>
        <w:tc>
          <w:tcPr>
            <w:tcW w:w="1093" w:type="dxa"/>
            <w:tcBorders>
              <w:top w:val="single" w:sz="8" w:space="0" w:color="auto"/>
              <w:bottom w:val="single" w:sz="4" w:space="0" w:color="auto"/>
            </w:tcBorders>
            <w:shd w:val="clear" w:color="auto" w:fill="auto"/>
            <w:vAlign w:val="center"/>
          </w:tcPr>
          <w:p w14:paraId="2EAFE191"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R119K</w:t>
            </w:r>
          </w:p>
        </w:tc>
        <w:tc>
          <w:tcPr>
            <w:tcW w:w="1170" w:type="dxa"/>
            <w:tcBorders>
              <w:top w:val="single" w:sz="8" w:space="0" w:color="auto"/>
              <w:bottom w:val="single" w:sz="4" w:space="0" w:color="auto"/>
            </w:tcBorders>
            <w:shd w:val="clear" w:color="auto" w:fill="auto"/>
            <w:vAlign w:val="center"/>
          </w:tcPr>
          <w:p w14:paraId="2C6D4D3F"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R372K</w:t>
            </w:r>
          </w:p>
        </w:tc>
        <w:tc>
          <w:tcPr>
            <w:tcW w:w="1170" w:type="dxa"/>
            <w:tcBorders>
              <w:top w:val="single" w:sz="8" w:space="0" w:color="auto"/>
              <w:bottom w:val="single" w:sz="4" w:space="0" w:color="auto"/>
            </w:tcBorders>
            <w:shd w:val="clear" w:color="auto" w:fill="auto"/>
            <w:vAlign w:val="center"/>
          </w:tcPr>
          <w:p w14:paraId="78392DFE"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R294_119K</w:t>
            </w:r>
          </w:p>
        </w:tc>
        <w:tc>
          <w:tcPr>
            <w:tcW w:w="1170" w:type="dxa"/>
            <w:tcBorders>
              <w:top w:val="single" w:sz="8" w:space="0" w:color="auto"/>
              <w:bottom w:val="single" w:sz="4" w:space="0" w:color="auto"/>
            </w:tcBorders>
            <w:shd w:val="clear" w:color="auto" w:fill="auto"/>
            <w:vAlign w:val="center"/>
          </w:tcPr>
          <w:p w14:paraId="44A66DBF"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R294_372K</w:t>
            </w:r>
          </w:p>
        </w:tc>
        <w:tc>
          <w:tcPr>
            <w:tcW w:w="1170" w:type="dxa"/>
            <w:tcBorders>
              <w:top w:val="single" w:sz="8" w:space="0" w:color="auto"/>
              <w:bottom w:val="single" w:sz="4" w:space="0" w:color="auto"/>
            </w:tcBorders>
            <w:shd w:val="clear" w:color="auto" w:fill="auto"/>
            <w:vAlign w:val="center"/>
          </w:tcPr>
          <w:p w14:paraId="3FCD179F"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R119_372K</w:t>
            </w:r>
          </w:p>
        </w:tc>
        <w:tc>
          <w:tcPr>
            <w:tcW w:w="1170" w:type="dxa"/>
            <w:tcBorders>
              <w:top w:val="single" w:sz="8" w:space="0" w:color="auto"/>
              <w:bottom w:val="single" w:sz="4" w:space="0" w:color="auto"/>
            </w:tcBorders>
            <w:shd w:val="clear" w:color="auto" w:fill="auto"/>
            <w:vAlign w:val="center"/>
          </w:tcPr>
          <w:p w14:paraId="3A10036E"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R294_119_372K</w:t>
            </w:r>
          </w:p>
        </w:tc>
      </w:tr>
      <w:tr w:rsidR="00FE407B" w:rsidRPr="00925C57" w14:paraId="2133A7ED" w14:textId="77777777" w:rsidTr="00FE407B">
        <w:tc>
          <w:tcPr>
            <w:tcW w:w="857" w:type="dxa"/>
            <w:tcBorders>
              <w:top w:val="single" w:sz="4" w:space="0" w:color="auto"/>
            </w:tcBorders>
            <w:shd w:val="clear" w:color="auto" w:fill="auto"/>
            <w:vAlign w:val="center"/>
          </w:tcPr>
          <w:p w14:paraId="76B07554"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Oselt.</w:t>
            </w:r>
          </w:p>
        </w:tc>
        <w:tc>
          <w:tcPr>
            <w:tcW w:w="1149" w:type="dxa"/>
            <w:tcBorders>
              <w:top w:val="single" w:sz="4" w:space="0" w:color="auto"/>
            </w:tcBorders>
            <w:shd w:val="clear" w:color="auto" w:fill="auto"/>
            <w:vAlign w:val="center"/>
          </w:tcPr>
          <w:p w14:paraId="6A92189D"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Arg 119 Arg 294 Arg 372</w:t>
            </w:r>
          </w:p>
        </w:tc>
        <w:tc>
          <w:tcPr>
            <w:tcW w:w="1149" w:type="dxa"/>
            <w:tcBorders>
              <w:top w:val="single" w:sz="4" w:space="0" w:color="auto"/>
            </w:tcBorders>
            <w:shd w:val="clear" w:color="auto" w:fill="auto"/>
            <w:vAlign w:val="center"/>
          </w:tcPr>
          <w:p w14:paraId="01C73E0B"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Arg 119 Arg 372</w:t>
            </w:r>
          </w:p>
        </w:tc>
        <w:tc>
          <w:tcPr>
            <w:tcW w:w="1093" w:type="dxa"/>
            <w:tcBorders>
              <w:top w:val="single" w:sz="4" w:space="0" w:color="auto"/>
            </w:tcBorders>
            <w:shd w:val="clear" w:color="auto" w:fill="auto"/>
            <w:vAlign w:val="center"/>
          </w:tcPr>
          <w:p w14:paraId="53A3DAE6"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Arg 294 Arg 372</w:t>
            </w:r>
          </w:p>
        </w:tc>
        <w:tc>
          <w:tcPr>
            <w:tcW w:w="1170" w:type="dxa"/>
            <w:tcBorders>
              <w:top w:val="single" w:sz="4" w:space="0" w:color="auto"/>
            </w:tcBorders>
            <w:shd w:val="clear" w:color="auto" w:fill="auto"/>
            <w:vAlign w:val="center"/>
          </w:tcPr>
          <w:p w14:paraId="50119E85" w14:textId="77777777" w:rsidR="00632758" w:rsidRPr="00925C57" w:rsidRDefault="00632758"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Arg 294 Lys 372</w:t>
            </w:r>
          </w:p>
        </w:tc>
        <w:tc>
          <w:tcPr>
            <w:tcW w:w="1170" w:type="dxa"/>
            <w:tcBorders>
              <w:top w:val="single" w:sz="4" w:space="0" w:color="auto"/>
            </w:tcBorders>
            <w:shd w:val="clear" w:color="auto" w:fill="auto"/>
            <w:vAlign w:val="center"/>
          </w:tcPr>
          <w:p w14:paraId="4EFB338D" w14:textId="77777777" w:rsidR="00632758" w:rsidRPr="00925C57" w:rsidRDefault="00632758"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Lys 294 Arg 372</w:t>
            </w:r>
          </w:p>
        </w:tc>
        <w:tc>
          <w:tcPr>
            <w:tcW w:w="1170" w:type="dxa"/>
            <w:tcBorders>
              <w:top w:val="single" w:sz="4" w:space="0" w:color="auto"/>
            </w:tcBorders>
            <w:shd w:val="clear" w:color="auto" w:fill="auto"/>
            <w:vAlign w:val="center"/>
          </w:tcPr>
          <w:p w14:paraId="15F57CE5"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Arg 119 Lys 294 Lys 372</w:t>
            </w:r>
          </w:p>
        </w:tc>
        <w:tc>
          <w:tcPr>
            <w:tcW w:w="1170" w:type="dxa"/>
            <w:tcBorders>
              <w:top w:val="single" w:sz="4" w:space="0" w:color="auto"/>
            </w:tcBorders>
            <w:shd w:val="clear" w:color="auto" w:fill="auto"/>
            <w:vAlign w:val="center"/>
          </w:tcPr>
          <w:p w14:paraId="05C51A69"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Arg 294</w:t>
            </w:r>
          </w:p>
        </w:tc>
        <w:tc>
          <w:tcPr>
            <w:tcW w:w="1170" w:type="dxa"/>
            <w:tcBorders>
              <w:top w:val="single" w:sz="4" w:space="0" w:color="auto"/>
            </w:tcBorders>
            <w:shd w:val="clear" w:color="auto" w:fill="auto"/>
            <w:vAlign w:val="center"/>
          </w:tcPr>
          <w:p w14:paraId="7592F0FA"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Lys 294 Lys 372</w:t>
            </w:r>
          </w:p>
        </w:tc>
      </w:tr>
      <w:tr w:rsidR="00632758" w:rsidRPr="00925C57" w14:paraId="221881E2" w14:textId="77777777" w:rsidTr="00FE407B">
        <w:tc>
          <w:tcPr>
            <w:tcW w:w="857" w:type="dxa"/>
            <w:shd w:val="clear" w:color="auto" w:fill="auto"/>
            <w:vAlign w:val="center"/>
          </w:tcPr>
          <w:p w14:paraId="55BDE160"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Zan.</w:t>
            </w:r>
          </w:p>
        </w:tc>
        <w:tc>
          <w:tcPr>
            <w:tcW w:w="1149" w:type="dxa"/>
            <w:shd w:val="clear" w:color="auto" w:fill="auto"/>
            <w:vAlign w:val="center"/>
          </w:tcPr>
          <w:p w14:paraId="707BF524" w14:textId="77777777" w:rsidR="00632758" w:rsidRPr="004B7EAE" w:rsidRDefault="00632758" w:rsidP="00FE407B">
            <w:pPr>
              <w:autoSpaceDE w:val="0"/>
              <w:autoSpaceDN w:val="0"/>
              <w:adjustRightInd w:val="0"/>
              <w:snapToGrid w:val="0"/>
              <w:jc w:val="center"/>
              <w:rPr>
                <w:rFonts w:ascii="Times New Roman" w:hAnsi="Times New Roman" w:cs="Times New Roman"/>
                <w:sz w:val="20"/>
              </w:rPr>
            </w:pPr>
            <w:r w:rsidRPr="004B7EAE">
              <w:rPr>
                <w:rFonts w:ascii="Times New Roman" w:hAnsi="Times New Roman" w:cs="Times New Roman"/>
                <w:sz w:val="20"/>
              </w:rPr>
              <w:t>Arg 119 Glu 120 Asp 152 Glu 229 Arg294 Arg 372</w:t>
            </w:r>
          </w:p>
        </w:tc>
        <w:tc>
          <w:tcPr>
            <w:tcW w:w="1149" w:type="dxa"/>
            <w:shd w:val="clear" w:color="auto" w:fill="auto"/>
            <w:vAlign w:val="center"/>
          </w:tcPr>
          <w:p w14:paraId="5E785B0A" w14:textId="77777777" w:rsidR="00632758" w:rsidRPr="004B7EAE" w:rsidRDefault="00632758" w:rsidP="00FE407B">
            <w:pPr>
              <w:autoSpaceDE w:val="0"/>
              <w:autoSpaceDN w:val="0"/>
              <w:adjustRightInd w:val="0"/>
              <w:snapToGrid w:val="0"/>
              <w:jc w:val="center"/>
              <w:rPr>
                <w:rFonts w:ascii="Times New Roman" w:hAnsi="Times New Roman" w:cs="Times New Roman"/>
                <w:sz w:val="20"/>
              </w:rPr>
            </w:pPr>
            <w:r w:rsidRPr="004B7EAE">
              <w:rPr>
                <w:rFonts w:ascii="Times New Roman" w:hAnsi="Times New Roman" w:cs="Times New Roman"/>
                <w:sz w:val="20"/>
              </w:rPr>
              <w:t>Arg 119 Arg 372 Glu 120 Asp 152 Glu 229</w:t>
            </w:r>
          </w:p>
        </w:tc>
        <w:tc>
          <w:tcPr>
            <w:tcW w:w="1093" w:type="dxa"/>
            <w:shd w:val="clear" w:color="auto" w:fill="auto"/>
            <w:vAlign w:val="center"/>
          </w:tcPr>
          <w:p w14:paraId="4A497D4D" w14:textId="77777777" w:rsidR="00632758" w:rsidRPr="004B7EAE" w:rsidRDefault="00632758" w:rsidP="00FE407B">
            <w:pPr>
              <w:autoSpaceDE w:val="0"/>
              <w:autoSpaceDN w:val="0"/>
              <w:adjustRightInd w:val="0"/>
              <w:snapToGrid w:val="0"/>
              <w:jc w:val="center"/>
              <w:rPr>
                <w:rFonts w:ascii="Times New Roman" w:hAnsi="Times New Roman" w:cs="Times New Roman"/>
                <w:sz w:val="20"/>
              </w:rPr>
            </w:pPr>
            <w:r w:rsidRPr="004B7EAE">
              <w:rPr>
                <w:rFonts w:ascii="Times New Roman" w:hAnsi="Times New Roman" w:cs="Times New Roman"/>
                <w:sz w:val="20"/>
              </w:rPr>
              <w:t>Glu 120 Asp152 Glu 229 Arg 294 Arg 372</w:t>
            </w:r>
          </w:p>
        </w:tc>
        <w:tc>
          <w:tcPr>
            <w:tcW w:w="1170" w:type="dxa"/>
            <w:shd w:val="clear" w:color="auto" w:fill="auto"/>
            <w:vAlign w:val="center"/>
          </w:tcPr>
          <w:p w14:paraId="0058D7AE" w14:textId="77777777" w:rsidR="00632758" w:rsidRPr="004B7EAE" w:rsidRDefault="00632758" w:rsidP="00FE407B">
            <w:pPr>
              <w:autoSpaceDE w:val="0"/>
              <w:autoSpaceDN w:val="0"/>
              <w:adjustRightInd w:val="0"/>
              <w:snapToGrid w:val="0"/>
              <w:jc w:val="center"/>
              <w:rPr>
                <w:rFonts w:ascii="Times New Roman" w:hAnsi="Times New Roman" w:cs="Times New Roman"/>
                <w:color w:val="000000" w:themeColor="text1"/>
                <w:sz w:val="20"/>
              </w:rPr>
            </w:pPr>
            <w:r w:rsidRPr="004B7EAE">
              <w:rPr>
                <w:rFonts w:ascii="Times New Roman" w:hAnsi="Times New Roman" w:cs="Times New Roman"/>
                <w:color w:val="000000" w:themeColor="text1"/>
                <w:sz w:val="20"/>
              </w:rPr>
              <w:t>Arg 119 Glu 120 Asp 152 Glu 229 Lys 372</w:t>
            </w:r>
          </w:p>
        </w:tc>
        <w:tc>
          <w:tcPr>
            <w:tcW w:w="1170" w:type="dxa"/>
            <w:shd w:val="clear" w:color="auto" w:fill="auto"/>
            <w:vAlign w:val="center"/>
          </w:tcPr>
          <w:p w14:paraId="6B56E67B" w14:textId="77777777" w:rsidR="00632758" w:rsidRPr="00925C57" w:rsidRDefault="00632758"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Arg 372</w:t>
            </w:r>
          </w:p>
        </w:tc>
        <w:tc>
          <w:tcPr>
            <w:tcW w:w="1170" w:type="dxa"/>
            <w:shd w:val="clear" w:color="auto" w:fill="auto"/>
            <w:vAlign w:val="center"/>
          </w:tcPr>
          <w:p w14:paraId="7FD4E655" w14:textId="77777777" w:rsidR="00632758" w:rsidRPr="004B7EAE" w:rsidRDefault="00632758" w:rsidP="00FE407B">
            <w:pPr>
              <w:autoSpaceDE w:val="0"/>
              <w:autoSpaceDN w:val="0"/>
              <w:adjustRightInd w:val="0"/>
              <w:snapToGrid w:val="0"/>
              <w:jc w:val="center"/>
              <w:rPr>
                <w:rFonts w:ascii="Times New Roman" w:hAnsi="Times New Roman" w:cs="Times New Roman"/>
                <w:sz w:val="20"/>
              </w:rPr>
            </w:pPr>
            <w:r w:rsidRPr="004B7EAE">
              <w:rPr>
                <w:rFonts w:ascii="Times New Roman" w:hAnsi="Times New Roman" w:cs="Times New Roman"/>
                <w:sz w:val="20"/>
              </w:rPr>
              <w:t>Arg 119 Glu 120 Asp 152 Glu 229 Lys 372</w:t>
            </w:r>
          </w:p>
        </w:tc>
        <w:tc>
          <w:tcPr>
            <w:tcW w:w="1170" w:type="dxa"/>
            <w:shd w:val="clear" w:color="auto" w:fill="auto"/>
            <w:vAlign w:val="center"/>
          </w:tcPr>
          <w:p w14:paraId="25953774"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Asp 152 Lys 372</w:t>
            </w:r>
          </w:p>
        </w:tc>
        <w:tc>
          <w:tcPr>
            <w:tcW w:w="1170" w:type="dxa"/>
            <w:shd w:val="clear" w:color="auto" w:fill="auto"/>
            <w:vAlign w:val="center"/>
          </w:tcPr>
          <w:p w14:paraId="687D1842" w14:textId="77777777" w:rsidR="00632758" w:rsidRPr="00925C57" w:rsidRDefault="00632758"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Asp 152 Glu 279 Lys 294 Lys 372</w:t>
            </w:r>
          </w:p>
        </w:tc>
      </w:tr>
      <w:tr w:rsidR="00632758" w:rsidRPr="00925C57" w14:paraId="4F24CDB3" w14:textId="77777777" w:rsidTr="00FE407B">
        <w:tc>
          <w:tcPr>
            <w:tcW w:w="857" w:type="dxa"/>
            <w:shd w:val="clear" w:color="auto" w:fill="auto"/>
            <w:vAlign w:val="center"/>
          </w:tcPr>
          <w:p w14:paraId="213B6FC7"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Per.</w:t>
            </w:r>
          </w:p>
        </w:tc>
        <w:tc>
          <w:tcPr>
            <w:tcW w:w="1149" w:type="dxa"/>
            <w:shd w:val="clear" w:color="auto" w:fill="auto"/>
            <w:vAlign w:val="center"/>
          </w:tcPr>
          <w:p w14:paraId="003BF35F" w14:textId="77777777" w:rsidR="00632758" w:rsidRPr="004B7EAE" w:rsidRDefault="00632758" w:rsidP="00FE407B">
            <w:pPr>
              <w:autoSpaceDE w:val="0"/>
              <w:autoSpaceDN w:val="0"/>
              <w:adjustRightInd w:val="0"/>
              <w:snapToGrid w:val="0"/>
              <w:jc w:val="center"/>
              <w:rPr>
                <w:rFonts w:ascii="Times New Roman" w:hAnsi="Times New Roman" w:cs="Times New Roman"/>
                <w:sz w:val="20"/>
              </w:rPr>
            </w:pPr>
            <w:r w:rsidRPr="004B7EAE">
              <w:rPr>
                <w:rFonts w:ascii="Times New Roman" w:hAnsi="Times New Roman" w:cs="Times New Roman"/>
                <w:sz w:val="20"/>
              </w:rPr>
              <w:t>Arg 119 Glu 120 Asp 152 Glu 229 Arg 294 Arg 372</w:t>
            </w:r>
          </w:p>
        </w:tc>
        <w:tc>
          <w:tcPr>
            <w:tcW w:w="1149" w:type="dxa"/>
            <w:shd w:val="clear" w:color="auto" w:fill="auto"/>
            <w:vAlign w:val="center"/>
          </w:tcPr>
          <w:p w14:paraId="16F44155" w14:textId="77777777" w:rsidR="00632758" w:rsidRPr="004B7EAE" w:rsidRDefault="00632758" w:rsidP="00FE407B">
            <w:pPr>
              <w:autoSpaceDE w:val="0"/>
              <w:autoSpaceDN w:val="0"/>
              <w:adjustRightInd w:val="0"/>
              <w:snapToGrid w:val="0"/>
              <w:jc w:val="center"/>
              <w:rPr>
                <w:rFonts w:ascii="Times New Roman" w:hAnsi="Times New Roman" w:cs="Times New Roman"/>
                <w:sz w:val="20"/>
              </w:rPr>
            </w:pPr>
            <w:r w:rsidRPr="004B7EAE">
              <w:rPr>
                <w:rFonts w:ascii="Times New Roman" w:hAnsi="Times New Roman" w:cs="Times New Roman"/>
                <w:sz w:val="20"/>
              </w:rPr>
              <w:t>Arg 119 Glu 120 Asp 152 Glu 229 Arg 372</w:t>
            </w:r>
          </w:p>
        </w:tc>
        <w:tc>
          <w:tcPr>
            <w:tcW w:w="1093" w:type="dxa"/>
            <w:shd w:val="clear" w:color="auto" w:fill="auto"/>
            <w:vAlign w:val="center"/>
          </w:tcPr>
          <w:p w14:paraId="337B07BD" w14:textId="77777777" w:rsidR="00632758" w:rsidRPr="004B7EAE" w:rsidRDefault="00632758" w:rsidP="00FE407B">
            <w:pPr>
              <w:autoSpaceDE w:val="0"/>
              <w:autoSpaceDN w:val="0"/>
              <w:adjustRightInd w:val="0"/>
              <w:snapToGrid w:val="0"/>
              <w:jc w:val="center"/>
              <w:rPr>
                <w:rFonts w:ascii="Times New Roman" w:hAnsi="Times New Roman" w:cs="Times New Roman"/>
                <w:sz w:val="20"/>
              </w:rPr>
            </w:pPr>
            <w:r w:rsidRPr="004B7EAE">
              <w:rPr>
                <w:rFonts w:ascii="Times New Roman" w:hAnsi="Times New Roman" w:cs="Times New Roman"/>
                <w:sz w:val="20"/>
              </w:rPr>
              <w:t>Glu 120 Asp 152 Glu 229 Arg 294 Arg 372</w:t>
            </w:r>
          </w:p>
        </w:tc>
        <w:tc>
          <w:tcPr>
            <w:tcW w:w="1170" w:type="dxa"/>
            <w:shd w:val="clear" w:color="auto" w:fill="auto"/>
            <w:vAlign w:val="center"/>
          </w:tcPr>
          <w:p w14:paraId="11E4A5CD" w14:textId="77777777" w:rsidR="00632758" w:rsidRPr="002E0011" w:rsidRDefault="00632758" w:rsidP="00FE407B">
            <w:pPr>
              <w:autoSpaceDE w:val="0"/>
              <w:autoSpaceDN w:val="0"/>
              <w:adjustRightInd w:val="0"/>
              <w:snapToGrid w:val="0"/>
              <w:jc w:val="center"/>
              <w:rPr>
                <w:rFonts w:ascii="Times New Roman" w:hAnsi="Times New Roman" w:cs="Times New Roman"/>
                <w:b/>
                <w:sz w:val="20"/>
              </w:rPr>
            </w:pPr>
            <w:r w:rsidRPr="002E0011">
              <w:rPr>
                <w:rFonts w:ascii="Times New Roman" w:hAnsi="Times New Roman" w:cs="Times New Roman"/>
                <w:sz w:val="20"/>
              </w:rPr>
              <w:t>Arg 119 Glu 120 Asp152 Glu 229 Arg 294 Lys 372</w:t>
            </w:r>
          </w:p>
        </w:tc>
        <w:tc>
          <w:tcPr>
            <w:tcW w:w="1170" w:type="dxa"/>
            <w:shd w:val="clear" w:color="auto" w:fill="auto"/>
            <w:vAlign w:val="center"/>
          </w:tcPr>
          <w:p w14:paraId="0BB961BF"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sz w:val="20"/>
                <w:lang w:val="en-US"/>
              </w:rPr>
              <w:t>Glu 120 Asp152 Glu 279 Lys 294 Arg 372</w:t>
            </w:r>
          </w:p>
        </w:tc>
        <w:tc>
          <w:tcPr>
            <w:tcW w:w="1170" w:type="dxa"/>
            <w:shd w:val="clear" w:color="auto" w:fill="auto"/>
            <w:vAlign w:val="center"/>
          </w:tcPr>
          <w:p w14:paraId="61E79FAC" w14:textId="77777777" w:rsidR="00632758" w:rsidRPr="004B7EAE" w:rsidRDefault="00632758" w:rsidP="00FE407B">
            <w:pPr>
              <w:autoSpaceDE w:val="0"/>
              <w:autoSpaceDN w:val="0"/>
              <w:adjustRightInd w:val="0"/>
              <w:snapToGrid w:val="0"/>
              <w:jc w:val="center"/>
              <w:rPr>
                <w:rFonts w:ascii="Times New Roman" w:hAnsi="Times New Roman" w:cs="Times New Roman"/>
                <w:sz w:val="20"/>
              </w:rPr>
            </w:pPr>
            <w:r w:rsidRPr="004B7EAE">
              <w:rPr>
                <w:rFonts w:ascii="Times New Roman" w:hAnsi="Times New Roman" w:cs="Times New Roman"/>
                <w:sz w:val="20"/>
              </w:rPr>
              <w:t>Arg 119 Glu 120 Asp 152 Glu 279 Lys 372</w:t>
            </w:r>
          </w:p>
        </w:tc>
        <w:tc>
          <w:tcPr>
            <w:tcW w:w="1170" w:type="dxa"/>
            <w:shd w:val="clear" w:color="auto" w:fill="auto"/>
            <w:vAlign w:val="center"/>
          </w:tcPr>
          <w:p w14:paraId="0DE567AC"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Asp 152 Arg 294 Lys 372</w:t>
            </w:r>
          </w:p>
        </w:tc>
        <w:tc>
          <w:tcPr>
            <w:tcW w:w="1170" w:type="dxa"/>
            <w:shd w:val="clear" w:color="auto" w:fill="auto"/>
            <w:vAlign w:val="center"/>
          </w:tcPr>
          <w:p w14:paraId="34C6F153" w14:textId="77777777" w:rsidR="00632758" w:rsidRPr="00925C57" w:rsidRDefault="00632758"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Glu 120 Asp 152 Lys 294 Lys 372</w:t>
            </w:r>
          </w:p>
        </w:tc>
      </w:tr>
      <w:tr w:rsidR="00632758" w:rsidRPr="00925C57" w14:paraId="06C37669" w14:textId="77777777" w:rsidTr="00FE407B">
        <w:tc>
          <w:tcPr>
            <w:tcW w:w="857" w:type="dxa"/>
            <w:shd w:val="clear" w:color="auto" w:fill="auto"/>
            <w:vAlign w:val="center"/>
          </w:tcPr>
          <w:p w14:paraId="51F42FFB"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Lan.</w:t>
            </w:r>
          </w:p>
        </w:tc>
        <w:tc>
          <w:tcPr>
            <w:tcW w:w="1149" w:type="dxa"/>
            <w:shd w:val="clear" w:color="auto" w:fill="auto"/>
            <w:vAlign w:val="center"/>
          </w:tcPr>
          <w:p w14:paraId="1FE195DD" w14:textId="77777777" w:rsidR="00632758" w:rsidRPr="004B7EAE" w:rsidRDefault="00632758" w:rsidP="00FE407B">
            <w:pPr>
              <w:autoSpaceDE w:val="0"/>
              <w:autoSpaceDN w:val="0"/>
              <w:adjustRightInd w:val="0"/>
              <w:snapToGrid w:val="0"/>
              <w:jc w:val="center"/>
              <w:rPr>
                <w:rFonts w:ascii="Times New Roman" w:hAnsi="Times New Roman" w:cs="Times New Roman"/>
                <w:sz w:val="20"/>
              </w:rPr>
            </w:pPr>
            <w:r w:rsidRPr="004B7EAE">
              <w:rPr>
                <w:rFonts w:ascii="Times New Roman" w:hAnsi="Times New Roman" w:cs="Times New Roman"/>
                <w:sz w:val="20"/>
              </w:rPr>
              <w:t xml:space="preserve">Arg 119 Glu 120 Asp 152 Glu 229 Arg 294 </w:t>
            </w:r>
            <w:proofErr w:type="gramStart"/>
            <w:r w:rsidRPr="004B7EAE">
              <w:rPr>
                <w:rFonts w:ascii="Times New Roman" w:hAnsi="Times New Roman" w:cs="Times New Roman"/>
                <w:sz w:val="20"/>
              </w:rPr>
              <w:t>Arg  372</w:t>
            </w:r>
            <w:proofErr w:type="gramEnd"/>
          </w:p>
        </w:tc>
        <w:tc>
          <w:tcPr>
            <w:tcW w:w="1149" w:type="dxa"/>
            <w:shd w:val="clear" w:color="auto" w:fill="auto"/>
            <w:vAlign w:val="center"/>
          </w:tcPr>
          <w:p w14:paraId="2C3F056B" w14:textId="77777777" w:rsidR="00632758" w:rsidRPr="004B7EAE" w:rsidRDefault="00632758" w:rsidP="00FE407B">
            <w:pPr>
              <w:autoSpaceDE w:val="0"/>
              <w:autoSpaceDN w:val="0"/>
              <w:adjustRightInd w:val="0"/>
              <w:snapToGrid w:val="0"/>
              <w:jc w:val="center"/>
              <w:rPr>
                <w:rFonts w:ascii="Times New Roman" w:hAnsi="Times New Roman" w:cs="Times New Roman"/>
                <w:b/>
                <w:sz w:val="20"/>
              </w:rPr>
            </w:pPr>
            <w:r w:rsidRPr="004B7EAE">
              <w:rPr>
                <w:rFonts w:ascii="Times New Roman" w:hAnsi="Times New Roman" w:cs="Times New Roman"/>
                <w:sz w:val="20"/>
              </w:rPr>
              <w:t>Arg 119 Arg 372 Glu 120 Asp 152 Glu 229</w:t>
            </w:r>
          </w:p>
        </w:tc>
        <w:tc>
          <w:tcPr>
            <w:tcW w:w="1093" w:type="dxa"/>
            <w:shd w:val="clear" w:color="auto" w:fill="auto"/>
            <w:vAlign w:val="center"/>
          </w:tcPr>
          <w:p w14:paraId="08BFB450"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Arg 372 Glu 120 Asp 152 Glu 229</w:t>
            </w:r>
          </w:p>
        </w:tc>
        <w:tc>
          <w:tcPr>
            <w:tcW w:w="1170" w:type="dxa"/>
            <w:shd w:val="clear" w:color="auto" w:fill="auto"/>
            <w:vAlign w:val="center"/>
          </w:tcPr>
          <w:p w14:paraId="3D751DC1" w14:textId="77777777" w:rsidR="00632758" w:rsidRPr="004B7EAE" w:rsidRDefault="00632758" w:rsidP="00FE407B">
            <w:pPr>
              <w:autoSpaceDE w:val="0"/>
              <w:autoSpaceDN w:val="0"/>
              <w:adjustRightInd w:val="0"/>
              <w:snapToGrid w:val="0"/>
              <w:jc w:val="center"/>
              <w:rPr>
                <w:rFonts w:ascii="Times New Roman" w:hAnsi="Times New Roman" w:cs="Times New Roman"/>
                <w:color w:val="000000" w:themeColor="text1"/>
                <w:sz w:val="20"/>
              </w:rPr>
            </w:pPr>
            <w:r w:rsidRPr="004B7EAE">
              <w:rPr>
                <w:rFonts w:ascii="Times New Roman" w:hAnsi="Times New Roman" w:cs="Times New Roman"/>
                <w:color w:val="000000" w:themeColor="text1"/>
                <w:sz w:val="20"/>
              </w:rPr>
              <w:t>Arg 119 Glu 120 Asp 152 Glu 229 Lys 372</w:t>
            </w:r>
          </w:p>
        </w:tc>
        <w:tc>
          <w:tcPr>
            <w:tcW w:w="1170" w:type="dxa"/>
            <w:shd w:val="clear" w:color="auto" w:fill="auto"/>
            <w:vAlign w:val="center"/>
          </w:tcPr>
          <w:p w14:paraId="510353E6" w14:textId="77777777" w:rsidR="00632758" w:rsidRPr="004B7EAE" w:rsidRDefault="00632758" w:rsidP="00FE407B">
            <w:pPr>
              <w:autoSpaceDE w:val="0"/>
              <w:autoSpaceDN w:val="0"/>
              <w:adjustRightInd w:val="0"/>
              <w:snapToGrid w:val="0"/>
              <w:jc w:val="center"/>
              <w:rPr>
                <w:rFonts w:ascii="Times New Roman" w:hAnsi="Times New Roman" w:cs="Times New Roman"/>
                <w:color w:val="000000" w:themeColor="text1"/>
                <w:sz w:val="20"/>
              </w:rPr>
            </w:pPr>
            <w:r w:rsidRPr="004B7EAE">
              <w:rPr>
                <w:rFonts w:ascii="Times New Roman" w:hAnsi="Times New Roman" w:cs="Times New Roman"/>
                <w:color w:val="000000" w:themeColor="text1"/>
                <w:sz w:val="20"/>
              </w:rPr>
              <w:t xml:space="preserve">Glu 120 Asp 152 Arg 153 Glu 229 Glu 279 </w:t>
            </w:r>
          </w:p>
        </w:tc>
        <w:tc>
          <w:tcPr>
            <w:tcW w:w="1170" w:type="dxa"/>
            <w:shd w:val="clear" w:color="auto" w:fill="auto"/>
            <w:vAlign w:val="center"/>
          </w:tcPr>
          <w:p w14:paraId="07B66FC8" w14:textId="77777777" w:rsidR="00632758" w:rsidRPr="004B7EAE" w:rsidRDefault="00632758" w:rsidP="00FE407B">
            <w:pPr>
              <w:autoSpaceDE w:val="0"/>
              <w:autoSpaceDN w:val="0"/>
              <w:adjustRightInd w:val="0"/>
              <w:snapToGrid w:val="0"/>
              <w:jc w:val="center"/>
              <w:rPr>
                <w:rFonts w:ascii="Times New Roman" w:hAnsi="Times New Roman" w:cs="Times New Roman"/>
                <w:sz w:val="20"/>
              </w:rPr>
            </w:pPr>
            <w:r w:rsidRPr="004B7EAE">
              <w:rPr>
                <w:rFonts w:ascii="Times New Roman" w:hAnsi="Times New Roman" w:cs="Times New Roman"/>
                <w:sz w:val="20"/>
              </w:rPr>
              <w:t>Arg 119 Glu 120 Asp 152 Glu 229 Lys 372</w:t>
            </w:r>
          </w:p>
        </w:tc>
        <w:tc>
          <w:tcPr>
            <w:tcW w:w="1170" w:type="dxa"/>
            <w:shd w:val="clear" w:color="auto" w:fill="auto"/>
            <w:vAlign w:val="center"/>
          </w:tcPr>
          <w:p w14:paraId="7CEAFB3B"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Glu 279 Arg 294 Lys 372</w:t>
            </w:r>
          </w:p>
        </w:tc>
        <w:tc>
          <w:tcPr>
            <w:tcW w:w="1170" w:type="dxa"/>
            <w:shd w:val="clear" w:color="auto" w:fill="auto"/>
            <w:vAlign w:val="center"/>
          </w:tcPr>
          <w:p w14:paraId="5DB513BF"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Asp 152 Glu 279 Lys 294 Lys 372</w:t>
            </w:r>
          </w:p>
        </w:tc>
      </w:tr>
      <w:tr w:rsidR="00632758" w:rsidRPr="002E0011" w14:paraId="553F24EC" w14:textId="77777777" w:rsidTr="00FE407B">
        <w:tc>
          <w:tcPr>
            <w:tcW w:w="857" w:type="dxa"/>
            <w:shd w:val="clear" w:color="auto" w:fill="auto"/>
            <w:vAlign w:val="center"/>
          </w:tcPr>
          <w:p w14:paraId="13A23C77"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L-Arg.</w:t>
            </w:r>
          </w:p>
        </w:tc>
        <w:tc>
          <w:tcPr>
            <w:tcW w:w="1149" w:type="dxa"/>
            <w:shd w:val="clear" w:color="auto" w:fill="auto"/>
            <w:vAlign w:val="center"/>
          </w:tcPr>
          <w:p w14:paraId="51F65C0C" w14:textId="77777777" w:rsidR="00632758" w:rsidRPr="004B7EAE" w:rsidRDefault="00632758" w:rsidP="00FE407B">
            <w:pPr>
              <w:autoSpaceDE w:val="0"/>
              <w:autoSpaceDN w:val="0"/>
              <w:adjustRightInd w:val="0"/>
              <w:snapToGrid w:val="0"/>
              <w:jc w:val="center"/>
              <w:rPr>
                <w:rFonts w:ascii="Times New Roman" w:hAnsi="Times New Roman" w:cs="Times New Roman"/>
                <w:sz w:val="20"/>
              </w:rPr>
            </w:pPr>
            <w:r w:rsidRPr="004B7EAE">
              <w:rPr>
                <w:rFonts w:ascii="Times New Roman" w:hAnsi="Times New Roman" w:cs="Times New Roman"/>
                <w:sz w:val="20"/>
              </w:rPr>
              <w:t>Arg 119 Glu 120 Glu 229 Glu 279 Arg 294 Arg 372</w:t>
            </w:r>
          </w:p>
        </w:tc>
        <w:tc>
          <w:tcPr>
            <w:tcW w:w="1149" w:type="dxa"/>
            <w:shd w:val="clear" w:color="auto" w:fill="auto"/>
            <w:vAlign w:val="center"/>
          </w:tcPr>
          <w:p w14:paraId="733628C0" w14:textId="77777777" w:rsidR="00632758" w:rsidRPr="002E0011" w:rsidRDefault="00632758" w:rsidP="00FE407B">
            <w:pPr>
              <w:autoSpaceDE w:val="0"/>
              <w:autoSpaceDN w:val="0"/>
              <w:adjustRightInd w:val="0"/>
              <w:snapToGrid w:val="0"/>
              <w:jc w:val="center"/>
              <w:rPr>
                <w:rFonts w:ascii="Times New Roman" w:hAnsi="Times New Roman" w:cs="Times New Roman"/>
                <w:sz w:val="20"/>
              </w:rPr>
            </w:pPr>
            <w:r w:rsidRPr="002E0011">
              <w:rPr>
                <w:rFonts w:ascii="Times New Roman" w:hAnsi="Times New Roman" w:cs="Times New Roman"/>
                <w:sz w:val="20"/>
              </w:rPr>
              <w:t>Arg 119 Arg 372 Glu 120 Glu 279 Glu 229</w:t>
            </w:r>
          </w:p>
        </w:tc>
        <w:tc>
          <w:tcPr>
            <w:tcW w:w="1093" w:type="dxa"/>
            <w:shd w:val="clear" w:color="auto" w:fill="auto"/>
            <w:vAlign w:val="center"/>
          </w:tcPr>
          <w:p w14:paraId="7FC63945" w14:textId="77777777" w:rsidR="00632758" w:rsidRPr="004B7EAE" w:rsidRDefault="00632758" w:rsidP="00FE407B">
            <w:pPr>
              <w:autoSpaceDE w:val="0"/>
              <w:autoSpaceDN w:val="0"/>
              <w:adjustRightInd w:val="0"/>
              <w:snapToGrid w:val="0"/>
              <w:jc w:val="center"/>
              <w:rPr>
                <w:rFonts w:ascii="Times New Roman" w:hAnsi="Times New Roman" w:cs="Times New Roman"/>
                <w:sz w:val="20"/>
              </w:rPr>
            </w:pPr>
            <w:r w:rsidRPr="004B7EAE">
              <w:rPr>
                <w:rFonts w:ascii="Times New Roman" w:hAnsi="Times New Roman" w:cs="Times New Roman"/>
                <w:sz w:val="20"/>
              </w:rPr>
              <w:t>Arg 294 Arg 372 Glu 120 Asp 152 Glu 229 Glu 279</w:t>
            </w:r>
          </w:p>
        </w:tc>
        <w:tc>
          <w:tcPr>
            <w:tcW w:w="1170" w:type="dxa"/>
            <w:shd w:val="clear" w:color="auto" w:fill="auto"/>
            <w:vAlign w:val="center"/>
          </w:tcPr>
          <w:p w14:paraId="728FFF14" w14:textId="3C7CD70E" w:rsidR="00632758" w:rsidRPr="004B7EAE" w:rsidRDefault="00632758" w:rsidP="00FE407B">
            <w:pPr>
              <w:autoSpaceDE w:val="0"/>
              <w:autoSpaceDN w:val="0"/>
              <w:adjustRightInd w:val="0"/>
              <w:snapToGrid w:val="0"/>
              <w:jc w:val="center"/>
              <w:rPr>
                <w:rFonts w:ascii="Times New Roman" w:hAnsi="Times New Roman" w:cs="Times New Roman"/>
                <w:color w:val="000000" w:themeColor="text1"/>
                <w:sz w:val="20"/>
              </w:rPr>
            </w:pPr>
            <w:r w:rsidRPr="004B7EAE">
              <w:rPr>
                <w:rFonts w:ascii="Times New Roman" w:hAnsi="Times New Roman" w:cs="Times New Roman"/>
                <w:color w:val="000000" w:themeColor="text1"/>
                <w:sz w:val="20"/>
              </w:rPr>
              <w:t xml:space="preserve">Arg 119 Glu 120 </w:t>
            </w:r>
            <w:r w:rsidRPr="004B7EAE">
              <w:rPr>
                <w:rFonts w:ascii="Times New Roman" w:hAnsi="Times New Roman" w:cs="Times New Roman"/>
                <w:sz w:val="20"/>
              </w:rPr>
              <w:t>Glu 229 Glu 279</w:t>
            </w:r>
            <w:r w:rsidRPr="004B7EAE">
              <w:rPr>
                <w:rFonts w:ascii="Times New Roman" w:hAnsi="Times New Roman" w:cs="Times New Roman"/>
                <w:color w:val="000000" w:themeColor="text1"/>
                <w:sz w:val="20"/>
              </w:rPr>
              <w:t xml:space="preserve"> Arg 294 Lys 372</w:t>
            </w:r>
          </w:p>
        </w:tc>
        <w:tc>
          <w:tcPr>
            <w:tcW w:w="1170" w:type="dxa"/>
            <w:shd w:val="clear" w:color="auto" w:fill="auto"/>
            <w:vAlign w:val="center"/>
          </w:tcPr>
          <w:p w14:paraId="19399B94" w14:textId="0F655068" w:rsidR="00632758" w:rsidRPr="00925C57" w:rsidRDefault="00632758"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color w:val="000000" w:themeColor="text1"/>
                <w:sz w:val="20"/>
                <w:lang w:val="en-US"/>
              </w:rPr>
              <w:t>Glu 120 Glu 229 Glu 279 Arg 372</w:t>
            </w:r>
          </w:p>
        </w:tc>
        <w:tc>
          <w:tcPr>
            <w:tcW w:w="1170" w:type="dxa"/>
            <w:shd w:val="clear" w:color="auto" w:fill="auto"/>
            <w:vAlign w:val="center"/>
          </w:tcPr>
          <w:p w14:paraId="5212333D" w14:textId="77777777" w:rsidR="00632758" w:rsidRPr="004B7EAE" w:rsidRDefault="00632758" w:rsidP="00FE407B">
            <w:pPr>
              <w:autoSpaceDE w:val="0"/>
              <w:autoSpaceDN w:val="0"/>
              <w:adjustRightInd w:val="0"/>
              <w:snapToGrid w:val="0"/>
              <w:jc w:val="center"/>
              <w:rPr>
                <w:rFonts w:ascii="Times New Roman" w:hAnsi="Times New Roman" w:cs="Times New Roman"/>
                <w:sz w:val="20"/>
              </w:rPr>
            </w:pPr>
            <w:r w:rsidRPr="004B7EAE">
              <w:rPr>
                <w:rFonts w:ascii="Times New Roman" w:hAnsi="Times New Roman" w:cs="Times New Roman"/>
                <w:sz w:val="20"/>
              </w:rPr>
              <w:t>Arg 119 Glu 120 Asp 152 Glu 229 Glu 279 Lys 372</w:t>
            </w:r>
          </w:p>
        </w:tc>
        <w:tc>
          <w:tcPr>
            <w:tcW w:w="1170" w:type="dxa"/>
            <w:shd w:val="clear" w:color="auto" w:fill="auto"/>
            <w:vAlign w:val="center"/>
          </w:tcPr>
          <w:p w14:paraId="1F448706"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Asp 152 Lys 372</w:t>
            </w:r>
          </w:p>
        </w:tc>
        <w:tc>
          <w:tcPr>
            <w:tcW w:w="1170" w:type="dxa"/>
            <w:shd w:val="clear" w:color="auto" w:fill="auto"/>
            <w:vAlign w:val="center"/>
          </w:tcPr>
          <w:p w14:paraId="22FCBF2F" w14:textId="08AC839F" w:rsidR="00632758" w:rsidRPr="002E0011" w:rsidRDefault="00632758" w:rsidP="00FE407B">
            <w:pPr>
              <w:autoSpaceDE w:val="0"/>
              <w:autoSpaceDN w:val="0"/>
              <w:adjustRightInd w:val="0"/>
              <w:snapToGrid w:val="0"/>
              <w:jc w:val="center"/>
              <w:rPr>
                <w:rFonts w:ascii="Times New Roman" w:hAnsi="Times New Roman" w:cs="Times New Roman"/>
                <w:sz w:val="20"/>
                <w:lang w:val="pl-PL"/>
              </w:rPr>
            </w:pPr>
            <w:r w:rsidRPr="002E0011">
              <w:rPr>
                <w:rFonts w:ascii="Times New Roman" w:hAnsi="Times New Roman" w:cs="Times New Roman"/>
                <w:sz w:val="20"/>
                <w:lang w:val="pl-PL"/>
              </w:rPr>
              <w:t>Glu 120 Asp 152</w:t>
            </w:r>
            <w:r w:rsidR="00B81D05">
              <w:rPr>
                <w:rFonts w:ascii="Times New Roman" w:hAnsi="Times New Roman" w:cs="Times New Roman"/>
                <w:sz w:val="20"/>
                <w:lang w:val="pl-PL"/>
              </w:rPr>
              <w:t xml:space="preserve"> </w:t>
            </w:r>
            <w:r w:rsidRPr="002E0011">
              <w:rPr>
                <w:rFonts w:ascii="Times New Roman" w:hAnsi="Times New Roman" w:cs="Times New Roman"/>
                <w:sz w:val="20"/>
                <w:lang w:val="pl-PL"/>
              </w:rPr>
              <w:t>Glu 229 Glu 279 Lys 372</w:t>
            </w:r>
          </w:p>
        </w:tc>
      </w:tr>
      <w:tr w:rsidR="00632758" w:rsidRPr="00925C57" w14:paraId="77E29B07" w14:textId="77777777" w:rsidTr="00FE407B">
        <w:tc>
          <w:tcPr>
            <w:tcW w:w="857" w:type="dxa"/>
            <w:shd w:val="clear" w:color="auto" w:fill="auto"/>
            <w:vAlign w:val="center"/>
          </w:tcPr>
          <w:p w14:paraId="72784A12"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b/>
                <w:sz w:val="20"/>
                <w:lang w:val="en-US"/>
              </w:rPr>
              <w:t>Bens.</w:t>
            </w:r>
          </w:p>
        </w:tc>
        <w:tc>
          <w:tcPr>
            <w:tcW w:w="1149" w:type="dxa"/>
            <w:shd w:val="clear" w:color="auto" w:fill="auto"/>
            <w:vAlign w:val="center"/>
          </w:tcPr>
          <w:p w14:paraId="0BBE9AAA"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No Salt Bridge interactions</w:t>
            </w:r>
          </w:p>
        </w:tc>
        <w:tc>
          <w:tcPr>
            <w:tcW w:w="1149" w:type="dxa"/>
            <w:shd w:val="clear" w:color="auto" w:fill="auto"/>
            <w:vAlign w:val="center"/>
          </w:tcPr>
          <w:p w14:paraId="2A4024A1"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No Salt Bridge interactions</w:t>
            </w:r>
          </w:p>
        </w:tc>
        <w:tc>
          <w:tcPr>
            <w:tcW w:w="1093" w:type="dxa"/>
            <w:shd w:val="clear" w:color="auto" w:fill="auto"/>
            <w:vAlign w:val="center"/>
          </w:tcPr>
          <w:p w14:paraId="79CA0927"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No Salt Bridge interactions</w:t>
            </w:r>
          </w:p>
        </w:tc>
        <w:tc>
          <w:tcPr>
            <w:tcW w:w="1170" w:type="dxa"/>
            <w:shd w:val="clear" w:color="auto" w:fill="auto"/>
            <w:vAlign w:val="center"/>
          </w:tcPr>
          <w:p w14:paraId="56CE271C" w14:textId="77777777" w:rsidR="00632758" w:rsidRPr="00925C57" w:rsidRDefault="00632758"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sz w:val="20"/>
                <w:lang w:val="en-US"/>
              </w:rPr>
              <w:t>No Salt Bridge interactions</w:t>
            </w:r>
          </w:p>
        </w:tc>
        <w:tc>
          <w:tcPr>
            <w:tcW w:w="1170" w:type="dxa"/>
            <w:shd w:val="clear" w:color="auto" w:fill="auto"/>
            <w:vAlign w:val="center"/>
          </w:tcPr>
          <w:p w14:paraId="3DBF4672" w14:textId="77777777" w:rsidR="00632758" w:rsidRPr="00925C57" w:rsidRDefault="00632758" w:rsidP="00FE407B">
            <w:pPr>
              <w:autoSpaceDE w:val="0"/>
              <w:autoSpaceDN w:val="0"/>
              <w:adjustRightInd w:val="0"/>
              <w:snapToGrid w:val="0"/>
              <w:jc w:val="center"/>
              <w:rPr>
                <w:rFonts w:ascii="Times New Roman" w:hAnsi="Times New Roman" w:cs="Times New Roman"/>
                <w:color w:val="000000" w:themeColor="text1"/>
                <w:sz w:val="20"/>
                <w:lang w:val="en-US"/>
              </w:rPr>
            </w:pPr>
            <w:r w:rsidRPr="00925C57">
              <w:rPr>
                <w:rFonts w:ascii="Times New Roman" w:hAnsi="Times New Roman" w:cs="Times New Roman"/>
                <w:sz w:val="20"/>
                <w:lang w:val="en-US"/>
              </w:rPr>
              <w:t>No Salt Bridge interactions</w:t>
            </w:r>
          </w:p>
        </w:tc>
        <w:tc>
          <w:tcPr>
            <w:tcW w:w="1170" w:type="dxa"/>
            <w:shd w:val="clear" w:color="auto" w:fill="auto"/>
            <w:vAlign w:val="center"/>
          </w:tcPr>
          <w:p w14:paraId="6DFE651E"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No Salt Bridge interactions</w:t>
            </w:r>
          </w:p>
        </w:tc>
        <w:tc>
          <w:tcPr>
            <w:tcW w:w="1170" w:type="dxa"/>
            <w:shd w:val="clear" w:color="auto" w:fill="auto"/>
            <w:vAlign w:val="center"/>
          </w:tcPr>
          <w:p w14:paraId="537A2AB4" w14:textId="77777777" w:rsidR="00632758" w:rsidRPr="00925C57" w:rsidRDefault="00632758" w:rsidP="00FE407B">
            <w:pPr>
              <w:autoSpaceDE w:val="0"/>
              <w:autoSpaceDN w:val="0"/>
              <w:adjustRightInd w:val="0"/>
              <w:snapToGrid w:val="0"/>
              <w:jc w:val="center"/>
              <w:rPr>
                <w:rFonts w:ascii="Times New Roman" w:hAnsi="Times New Roman" w:cs="Times New Roman"/>
                <w:sz w:val="20"/>
                <w:lang w:val="en-US"/>
              </w:rPr>
            </w:pPr>
            <w:r w:rsidRPr="00925C57">
              <w:rPr>
                <w:rFonts w:ascii="Times New Roman" w:hAnsi="Times New Roman" w:cs="Times New Roman"/>
                <w:sz w:val="20"/>
                <w:lang w:val="en-US"/>
              </w:rPr>
              <w:t>No Salt Bridge interactions</w:t>
            </w:r>
          </w:p>
        </w:tc>
        <w:tc>
          <w:tcPr>
            <w:tcW w:w="1170" w:type="dxa"/>
            <w:shd w:val="clear" w:color="auto" w:fill="auto"/>
            <w:vAlign w:val="center"/>
          </w:tcPr>
          <w:p w14:paraId="10C53082" w14:textId="77777777" w:rsidR="00632758" w:rsidRPr="00925C57" w:rsidRDefault="00632758" w:rsidP="00FE407B">
            <w:pPr>
              <w:autoSpaceDE w:val="0"/>
              <w:autoSpaceDN w:val="0"/>
              <w:adjustRightInd w:val="0"/>
              <w:snapToGrid w:val="0"/>
              <w:jc w:val="center"/>
              <w:rPr>
                <w:rFonts w:ascii="Times New Roman" w:hAnsi="Times New Roman" w:cs="Times New Roman"/>
                <w:b/>
                <w:sz w:val="20"/>
                <w:lang w:val="en-US"/>
              </w:rPr>
            </w:pPr>
            <w:r w:rsidRPr="00925C57">
              <w:rPr>
                <w:rFonts w:ascii="Times New Roman" w:hAnsi="Times New Roman" w:cs="Times New Roman"/>
                <w:sz w:val="20"/>
                <w:lang w:val="en-US"/>
              </w:rPr>
              <w:t>No Salt Bridge interactions</w:t>
            </w:r>
          </w:p>
        </w:tc>
      </w:tr>
    </w:tbl>
    <w:p w14:paraId="64B30A24" w14:textId="790D7691" w:rsidR="00124FBE" w:rsidRPr="00925C57" w:rsidRDefault="007E0271" w:rsidP="00FE407B">
      <w:pPr>
        <w:pStyle w:val="MDPI43tablefooter"/>
        <w:ind w:left="425" w:right="425"/>
        <w:jc w:val="both"/>
      </w:pPr>
      <w:r w:rsidRPr="00925C57">
        <w:rPr>
          <w:vertAlign w:val="superscript"/>
        </w:rPr>
        <w:t>1</w:t>
      </w:r>
      <w:r w:rsidRPr="00925C57">
        <w:t>Salt bridge interaction profile for all the drugs (Oseltamivir, Zanamivir, Peramivir, Laninamivir, L-Arginine and Benserazide hydrochloride) with respect to the wild type NAs as well as single, double and triple R to K mutations.</w:t>
      </w:r>
    </w:p>
    <w:p w14:paraId="021E63F5" w14:textId="7049EFEE" w:rsidR="00E65F32" w:rsidRPr="00925C57" w:rsidRDefault="00235BD9" w:rsidP="00FE407B">
      <w:pPr>
        <w:pStyle w:val="MDPI22heading2"/>
        <w:spacing w:before="240"/>
      </w:pPr>
      <w:r w:rsidRPr="00925C57">
        <w:t xml:space="preserve">2.4. </w:t>
      </w:r>
      <w:r w:rsidR="00401EF5" w:rsidRPr="00925C57">
        <w:t xml:space="preserve">Influence of </w:t>
      </w:r>
      <w:r w:rsidR="00EF669F" w:rsidRPr="00925C57">
        <w:t>Mut</w:t>
      </w:r>
      <w:r w:rsidR="00DD5D8F" w:rsidRPr="00925C57">
        <w:t xml:space="preserve">ations on </w:t>
      </w:r>
      <w:r w:rsidR="00EF669F" w:rsidRPr="00925C57">
        <w:t xml:space="preserve">Drug Fitness </w:t>
      </w:r>
      <w:r w:rsidR="00DD5D8F" w:rsidRPr="00925C57">
        <w:t>to</w:t>
      </w:r>
      <w:r w:rsidR="00E65F32" w:rsidRPr="00925C57">
        <w:t xml:space="preserve"> </w:t>
      </w:r>
      <w:r w:rsidR="00EF669F" w:rsidRPr="00925C57">
        <w:t xml:space="preserve">the Binding Pocket </w:t>
      </w:r>
      <w:r w:rsidR="00435072" w:rsidRPr="00925C57">
        <w:t>of NAs.</w:t>
      </w:r>
    </w:p>
    <w:p w14:paraId="0CE83130" w14:textId="1BD3FBEE" w:rsidR="001C3040" w:rsidRPr="00925C57" w:rsidRDefault="001C3040" w:rsidP="00FE407B">
      <w:pPr>
        <w:pStyle w:val="MDPI31text"/>
        <w:rPr>
          <w:b/>
        </w:rPr>
      </w:pPr>
      <w:r w:rsidRPr="00925C57">
        <w:t xml:space="preserve">It is effective to look at the impact of mutations in H7N9 NA catalytic site, as it leads to conformational changes of the binding pocket as well as various poses of drugs </w:t>
      </w:r>
      <w:r w:rsidR="00C52CFB" w:rsidRPr="00925C57">
        <w:t xml:space="preserve">inside </w:t>
      </w:r>
      <w:r w:rsidR="00C52CFB" w:rsidRPr="00925C57">
        <w:lastRenderedPageBreak/>
        <w:t>the cavity</w:t>
      </w:r>
      <w:r w:rsidR="00B93FC7" w:rsidRPr="00925C57">
        <w:t>.</w:t>
      </w:r>
      <w:r w:rsidRPr="00925C57">
        <w:t xml:space="preserve"> </w:t>
      </w:r>
      <w:r w:rsidR="00AB636A" w:rsidRPr="00925C57">
        <w:t xml:space="preserve">Figure 2 </w:t>
      </w:r>
      <w:r w:rsidR="00B1224E" w:rsidRPr="00925C57">
        <w:t>demonstrates the superposition between Oseltamivirs</w:t>
      </w:r>
      <w:r w:rsidR="00C52CFB" w:rsidRPr="00925C57">
        <w:t xml:space="preserve"> (A)</w:t>
      </w:r>
      <w:r w:rsidR="00B1224E" w:rsidRPr="00925C57">
        <w:t>, Zanamivirs</w:t>
      </w:r>
      <w:r w:rsidR="00C52CFB" w:rsidRPr="00925C57">
        <w:t xml:space="preserve"> (B)</w:t>
      </w:r>
      <w:r w:rsidR="00B1224E" w:rsidRPr="00925C57">
        <w:t>, Peramivirs</w:t>
      </w:r>
      <w:r w:rsidR="00C52CFB" w:rsidRPr="00925C57">
        <w:t xml:space="preserve"> (C)</w:t>
      </w:r>
      <w:r w:rsidR="00B1224E" w:rsidRPr="00925C57">
        <w:t>, Laninamivirs</w:t>
      </w:r>
      <w:r w:rsidR="00C52CFB" w:rsidRPr="00925C57">
        <w:t xml:space="preserve"> (D)</w:t>
      </w:r>
      <w:r w:rsidR="00B1224E" w:rsidRPr="00925C57">
        <w:t>, L-Arginines</w:t>
      </w:r>
      <w:r w:rsidR="00C52CFB" w:rsidRPr="00925C57">
        <w:t xml:space="preserve"> (E)</w:t>
      </w:r>
      <w:r w:rsidR="00B1224E" w:rsidRPr="00925C57">
        <w:t xml:space="preserve"> and Benserazide hydrochlorides</w:t>
      </w:r>
      <w:r w:rsidR="00C52CFB" w:rsidRPr="00925C57">
        <w:t xml:space="preserve"> (F)</w:t>
      </w:r>
      <w:r w:rsidR="00B1224E" w:rsidRPr="00925C57">
        <w:t xml:space="preserve"> taken from </w:t>
      </w:r>
      <w:r w:rsidR="00C52CFB" w:rsidRPr="00925C57">
        <w:t xml:space="preserve">docking of the drugs </w:t>
      </w:r>
      <w:r w:rsidR="001339E3" w:rsidRPr="00925C57">
        <w:t xml:space="preserve">with respect </w:t>
      </w:r>
      <w:r w:rsidR="00C52CFB" w:rsidRPr="00925C57">
        <w:t xml:space="preserve">to </w:t>
      </w:r>
      <w:r w:rsidR="00B1224E" w:rsidRPr="00925C57">
        <w:t xml:space="preserve">the </w:t>
      </w:r>
      <w:r w:rsidR="001339E3" w:rsidRPr="00925C57">
        <w:t xml:space="preserve">pocket of </w:t>
      </w:r>
      <w:r w:rsidR="00B1224E" w:rsidRPr="00925C57">
        <w:t>wild type</w:t>
      </w:r>
      <w:r w:rsidR="00635FDA" w:rsidRPr="00925C57">
        <w:t xml:space="preserve"> (used </w:t>
      </w:r>
      <w:r w:rsidR="006E30EE" w:rsidRPr="00925C57">
        <w:t xml:space="preserve">here </w:t>
      </w:r>
      <w:r w:rsidR="00635FDA" w:rsidRPr="00925C57">
        <w:t>as a reference)</w:t>
      </w:r>
      <w:r w:rsidR="00C52CFB" w:rsidRPr="00925C57">
        <w:t xml:space="preserve"> </w:t>
      </w:r>
      <w:r w:rsidR="00B1224E" w:rsidRPr="00925C57">
        <w:t>as well as mutated N9</w:t>
      </w:r>
      <w:r w:rsidR="00C52CFB" w:rsidRPr="00925C57">
        <w:t xml:space="preserve"> NAs</w:t>
      </w:r>
      <w:r w:rsidR="00B1224E" w:rsidRPr="00925C57">
        <w:t>.</w:t>
      </w:r>
      <w:r w:rsidR="00635FDA" w:rsidRPr="00925C57">
        <w:t xml:space="preserve"> It is</w:t>
      </w:r>
      <w:r w:rsidR="006E30EE" w:rsidRPr="00925C57">
        <w:t xml:space="preserve"> worth to note, that</w:t>
      </w:r>
      <w:r w:rsidR="00635FDA" w:rsidRPr="00925C57">
        <w:t xml:space="preserve"> the most affected by R to K mutation inside the active site are th</w:t>
      </w:r>
      <w:r w:rsidR="006E30EE" w:rsidRPr="00925C57">
        <w:t>e drugs Oseltamivir, L-Arginine</w:t>
      </w:r>
      <w:r w:rsidR="00635FDA" w:rsidRPr="00925C57">
        <w:t xml:space="preserve"> and Benserazide hydrochloride. The calculated values of RMSDs for such drugs show a huge shift</w:t>
      </w:r>
      <w:r w:rsidR="003F2000" w:rsidRPr="00925C57">
        <w:t xml:space="preserve"> with respect</w:t>
      </w:r>
      <w:r w:rsidR="00635FDA" w:rsidRPr="00925C57">
        <w:t xml:space="preserve"> to the</w:t>
      </w:r>
      <w:r w:rsidR="003F2000" w:rsidRPr="00925C57">
        <w:t xml:space="preserve"> structure bound to the wild type N9</w:t>
      </w:r>
      <w:r w:rsidR="006E30EE" w:rsidRPr="00925C57">
        <w:t xml:space="preserve"> (please refer to Table 6)</w:t>
      </w:r>
      <w:r w:rsidR="003F2000" w:rsidRPr="00925C57">
        <w:t xml:space="preserve">. </w:t>
      </w:r>
      <w:r w:rsidR="006E30EE" w:rsidRPr="00925C57">
        <w:t>Less impact had mutation of the pocket residues on Zanamivir, Peramivir and Laninamivir. As Table 6 shows single mutations (R294K, R119K</w:t>
      </w:r>
      <w:r w:rsidR="00F80DB0" w:rsidRPr="00925C57">
        <w:t xml:space="preserve"> and</w:t>
      </w:r>
      <w:r w:rsidR="006E30EE" w:rsidRPr="00925C57">
        <w:t xml:space="preserve"> R372K) do not affect significantly the binding pose</w:t>
      </w:r>
      <w:r w:rsidR="00F80DB0" w:rsidRPr="00925C57">
        <w:t>s</w:t>
      </w:r>
      <w:r w:rsidR="006E30EE" w:rsidRPr="00925C57">
        <w:t xml:space="preserve"> of the drugs; the values of RMSD lie within </w:t>
      </w:r>
      <w:r w:rsidR="00F80DB0" w:rsidRPr="00925C57">
        <w:t xml:space="preserve">1.5 Å for the drugs Zanamivir and Laninamivir and </w:t>
      </w:r>
      <w:r w:rsidR="004526C1" w:rsidRPr="00925C57">
        <w:t xml:space="preserve">are </w:t>
      </w:r>
      <w:r w:rsidR="00F80DB0" w:rsidRPr="00925C57">
        <w:t>less than 1 Å for the drug Peramivir.</w:t>
      </w:r>
      <w:r w:rsidR="006E30EE" w:rsidRPr="00925C57">
        <w:t xml:space="preserve"> </w:t>
      </w:r>
      <w:r w:rsidR="003F2000" w:rsidRPr="00925C57">
        <w:t>The drastic conformational changes as well as shi</w:t>
      </w:r>
      <w:r w:rsidR="00F80DB0" w:rsidRPr="00925C57">
        <w:t>ft of the binding pose in</w:t>
      </w:r>
      <w:r w:rsidR="003F2000" w:rsidRPr="00925C57">
        <w:t xml:space="preserve"> all drugs causes the double R294_119K </w:t>
      </w:r>
      <w:r w:rsidR="00F80DB0" w:rsidRPr="00925C57">
        <w:t xml:space="preserve">mutation inside the binding pocket of N9 </w:t>
      </w:r>
      <w:r w:rsidR="003F2000" w:rsidRPr="00925C57">
        <w:t>(see Figure 2</w:t>
      </w:r>
      <w:r w:rsidR="004526C1" w:rsidRPr="00925C57">
        <w:t xml:space="preserve"> A-F</w:t>
      </w:r>
      <w:r w:rsidR="003F2000" w:rsidRPr="00925C57">
        <w:t xml:space="preserve">, </w:t>
      </w:r>
      <w:r w:rsidR="004526C1" w:rsidRPr="00925C57">
        <w:t xml:space="preserve">all drugs are </w:t>
      </w:r>
      <w:r w:rsidR="00D61587" w:rsidRPr="00925C57">
        <w:t xml:space="preserve">highlighted in </w:t>
      </w:r>
      <w:r w:rsidR="00F80DB0" w:rsidRPr="00925C57">
        <w:t>orange</w:t>
      </w:r>
      <w:r w:rsidR="004526C1" w:rsidRPr="00925C57">
        <w:t>, and Table 6</w:t>
      </w:r>
      <w:r w:rsidR="00F80DB0" w:rsidRPr="00925C57">
        <w:t>). In thi</w:t>
      </w:r>
      <w:r w:rsidR="004526C1" w:rsidRPr="00925C57">
        <w:t xml:space="preserve">s case the most affected </w:t>
      </w:r>
      <w:r w:rsidR="00F80DB0" w:rsidRPr="00925C57">
        <w:t xml:space="preserve">drug </w:t>
      </w:r>
      <w:r w:rsidR="004526C1" w:rsidRPr="00925C57">
        <w:t xml:space="preserve">is </w:t>
      </w:r>
      <w:r w:rsidR="00F80DB0" w:rsidRPr="00925C57">
        <w:t>Zanamivir with an RMSD value of 7.3 Å</w:t>
      </w:r>
      <w:r w:rsidR="004526C1" w:rsidRPr="00925C57">
        <w:t xml:space="preserve">; </w:t>
      </w:r>
      <w:r w:rsidR="00290C34" w:rsidRPr="00925C57">
        <w:t>the least</w:t>
      </w:r>
      <w:r w:rsidR="00A2451A" w:rsidRPr="00925C57">
        <w:t xml:space="preserve"> affected </w:t>
      </w:r>
      <w:r w:rsidR="00290C34" w:rsidRPr="00925C57">
        <w:t>is the drug</w:t>
      </w:r>
      <w:r w:rsidR="00A2451A" w:rsidRPr="00925C57">
        <w:t xml:space="preserve"> Peramivir with an RMSD value of 4.6 Å. </w:t>
      </w:r>
      <w:r w:rsidR="004526C1" w:rsidRPr="00925C57">
        <w:t>T</w:t>
      </w:r>
      <w:r w:rsidR="003F2000" w:rsidRPr="00925C57">
        <w:t xml:space="preserve">riple R294_119_372K </w:t>
      </w:r>
      <w:r w:rsidR="004526C1" w:rsidRPr="00925C57">
        <w:t xml:space="preserve">mutation </w:t>
      </w:r>
      <w:r w:rsidR="00290C34" w:rsidRPr="00925C57">
        <w:t xml:space="preserve">also caused significant displacement of the binding poses in all considered drugs, except Zanamivir </w:t>
      </w:r>
      <w:r w:rsidR="003F2000" w:rsidRPr="00925C57">
        <w:t>(see Figure 2</w:t>
      </w:r>
      <w:r w:rsidR="004526C1" w:rsidRPr="00925C57">
        <w:t xml:space="preserve"> A-F</w:t>
      </w:r>
      <w:r w:rsidR="003F2000" w:rsidRPr="00925C57">
        <w:t>,</w:t>
      </w:r>
      <w:r w:rsidR="00D61587" w:rsidRPr="00925C57">
        <w:t xml:space="preserve"> </w:t>
      </w:r>
      <w:r w:rsidR="004526C1" w:rsidRPr="00925C57">
        <w:t xml:space="preserve">all drugs are </w:t>
      </w:r>
      <w:r w:rsidR="00D61587" w:rsidRPr="00925C57">
        <w:t>highlighted</w:t>
      </w:r>
      <w:r w:rsidR="004526C1" w:rsidRPr="00925C57">
        <w:t xml:space="preserve"> in</w:t>
      </w:r>
      <w:r w:rsidR="00F80DB0" w:rsidRPr="00925C57">
        <w:t xml:space="preserve"> salmon</w:t>
      </w:r>
      <w:r w:rsidR="00290C34" w:rsidRPr="00925C57">
        <w:t>, and</w:t>
      </w:r>
      <w:r w:rsidR="004526C1" w:rsidRPr="00925C57">
        <w:t xml:space="preserve"> Table 6</w:t>
      </w:r>
      <w:r w:rsidR="00F80DB0" w:rsidRPr="00925C57">
        <w:t>)</w:t>
      </w:r>
      <w:r w:rsidR="003F2000" w:rsidRPr="00925C57">
        <w:t xml:space="preserve">. </w:t>
      </w:r>
      <w:r w:rsidR="00290C34" w:rsidRPr="00925C57">
        <w:t>In this case the most affected by such mutation is the drug Oseltamivir with an RMSD value of 10.8 Å and the least affected is Zanamivir wi</w:t>
      </w:r>
      <w:r w:rsidR="007058D6" w:rsidRPr="00925C57">
        <w:t>th an RMSD value of 0.7</w:t>
      </w:r>
      <w:r w:rsidR="00290C34" w:rsidRPr="00925C57">
        <w:t xml:space="preserve"> Å.</w:t>
      </w:r>
    </w:p>
    <w:p w14:paraId="7915DE6F" w14:textId="30B323AE" w:rsidR="00FD364B" w:rsidRPr="00925C57" w:rsidRDefault="00FD364B" w:rsidP="00FE407B">
      <w:pPr>
        <w:pStyle w:val="MDPI52figure"/>
      </w:pPr>
      <w:r w:rsidRPr="00925C57">
        <w:rPr>
          <w:noProof/>
        </w:rPr>
        <w:drawing>
          <wp:inline distT="0" distB="0" distL="0" distR="0" wp14:anchorId="2925C7EB" wp14:editId="5BB9621B">
            <wp:extent cx="5760720" cy="329184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l_drugs_all_pockets.png"/>
                    <pic:cNvPicPr/>
                  </pic:nvPicPr>
                  <pic:blipFill>
                    <a:blip r:embed="rId11" cstate="screen">
                      <a:extLst>
                        <a:ext uri="{28A0092B-C50C-407E-A947-70E740481C1C}">
                          <a14:useLocalDpi xmlns:a14="http://schemas.microsoft.com/office/drawing/2010/main"/>
                        </a:ext>
                      </a:extLst>
                    </a:blip>
                    <a:stretch>
                      <a:fillRect/>
                    </a:stretch>
                  </pic:blipFill>
                  <pic:spPr>
                    <a:xfrm>
                      <a:off x="0" y="0"/>
                      <a:ext cx="5760720" cy="3291840"/>
                    </a:xfrm>
                    <a:prstGeom prst="rect">
                      <a:avLst/>
                    </a:prstGeom>
                  </pic:spPr>
                </pic:pic>
              </a:graphicData>
            </a:graphic>
          </wp:inline>
        </w:drawing>
      </w:r>
    </w:p>
    <w:p w14:paraId="636C919E" w14:textId="6E46DCAA" w:rsidR="00FD364B" w:rsidRPr="00925C57" w:rsidRDefault="00FE407B" w:rsidP="00FE407B">
      <w:pPr>
        <w:pStyle w:val="MDPI51figurecaption"/>
        <w:ind w:left="425" w:right="425"/>
        <w:jc w:val="both"/>
      </w:pPr>
      <w:r w:rsidRPr="00925C57">
        <w:rPr>
          <w:b/>
        </w:rPr>
        <w:t xml:space="preserve">Figure 2. </w:t>
      </w:r>
      <w:r w:rsidR="007E0271" w:rsidRPr="00925C57">
        <w:t xml:space="preserve">Comparing drug fit to </w:t>
      </w:r>
      <w:r w:rsidR="006B5346" w:rsidRPr="00925C57">
        <w:t xml:space="preserve">wild type and </w:t>
      </w:r>
      <w:r w:rsidR="007E0271" w:rsidRPr="00925C57">
        <w:t>mutated NA binding pocket</w:t>
      </w:r>
      <w:r w:rsidR="006B5346" w:rsidRPr="00925C57">
        <w:t>s</w:t>
      </w:r>
      <w:r w:rsidR="007E0271" w:rsidRPr="00925C57">
        <w:t xml:space="preserve">. </w:t>
      </w:r>
      <w:r w:rsidR="0063584B" w:rsidRPr="00925C57">
        <w:t xml:space="preserve">Superposition of </w:t>
      </w:r>
      <w:r w:rsidR="0063584B" w:rsidRPr="00925C57">
        <w:rPr>
          <w:b/>
        </w:rPr>
        <w:t>A</w:t>
      </w:r>
      <w:r w:rsidR="0063584B" w:rsidRPr="00925C57">
        <w:t xml:space="preserve">. Oseltamivirs, </w:t>
      </w:r>
      <w:r w:rsidR="0063584B" w:rsidRPr="00925C57">
        <w:rPr>
          <w:b/>
        </w:rPr>
        <w:t>B</w:t>
      </w:r>
      <w:r w:rsidR="0063584B" w:rsidRPr="00925C57">
        <w:t xml:space="preserve">. Zanamivirs, </w:t>
      </w:r>
      <w:r w:rsidR="0063584B" w:rsidRPr="00925C57">
        <w:rPr>
          <w:b/>
        </w:rPr>
        <w:t>C</w:t>
      </w:r>
      <w:r w:rsidR="0063584B" w:rsidRPr="00925C57">
        <w:t xml:space="preserve">. Peramivirs, </w:t>
      </w:r>
      <w:r w:rsidR="0063584B" w:rsidRPr="00925C57">
        <w:rPr>
          <w:b/>
        </w:rPr>
        <w:t>D</w:t>
      </w:r>
      <w:r w:rsidR="0063584B" w:rsidRPr="00925C57">
        <w:t xml:space="preserve">. Laninamivirs, </w:t>
      </w:r>
      <w:r w:rsidR="0063584B" w:rsidRPr="00925C57">
        <w:rPr>
          <w:b/>
        </w:rPr>
        <w:t>E</w:t>
      </w:r>
      <w:r w:rsidR="0063584B" w:rsidRPr="00925C57">
        <w:t xml:space="preserve">. L-Arginines and </w:t>
      </w:r>
      <w:r w:rsidR="0063584B" w:rsidRPr="00925C57">
        <w:rPr>
          <w:b/>
        </w:rPr>
        <w:t>F</w:t>
      </w:r>
      <w:r w:rsidR="0063584B" w:rsidRPr="00925C57">
        <w:t xml:space="preserve">. Benserazide hydrochlorides in the pockets of native </w:t>
      </w:r>
      <w:r w:rsidR="003101F9" w:rsidRPr="00925C57">
        <w:t xml:space="preserve">NA </w:t>
      </w:r>
      <w:r w:rsidR="0063584B" w:rsidRPr="00925C57">
        <w:t>(4MWQ) (red)</w:t>
      </w:r>
      <w:r w:rsidR="003101F9" w:rsidRPr="00925C57">
        <w:t xml:space="preserve"> as well as NAs with</w:t>
      </w:r>
      <w:r w:rsidR="0063584B" w:rsidRPr="00925C57">
        <w:t xml:space="preserve"> single</w:t>
      </w:r>
      <w:r w:rsidR="00F649AC" w:rsidRPr="00925C57">
        <w:t xml:space="preserve"> (R294K</w:t>
      </w:r>
      <w:r w:rsidR="00FE38F9" w:rsidRPr="00925C57">
        <w:t xml:space="preserve">) (cornflower blue), R119K (green), R372K (purple), double R294_119K (orange), R294_372K (turquoise), R119_372K (pink) and </w:t>
      </w:r>
      <w:r w:rsidR="00740278" w:rsidRPr="00925C57">
        <w:t xml:space="preserve">triple </w:t>
      </w:r>
      <w:r w:rsidR="00FE38F9" w:rsidRPr="00925C57">
        <w:t>R294_119_372K (salmon) mutations.</w:t>
      </w:r>
    </w:p>
    <w:p w14:paraId="2AE510A9" w14:textId="061B6287" w:rsidR="007E0271" w:rsidRPr="00925C57" w:rsidRDefault="0079274B" w:rsidP="0079274B">
      <w:pPr>
        <w:pStyle w:val="MDPI41tablecaption"/>
        <w:ind w:left="0" w:right="425"/>
        <w:jc w:val="both"/>
        <w:rPr>
          <w:vertAlign w:val="superscript"/>
        </w:rPr>
      </w:pPr>
      <w:r w:rsidRPr="00925C57">
        <w:rPr>
          <w:b/>
        </w:rPr>
        <w:t xml:space="preserve">Table 6. </w:t>
      </w:r>
      <w:r w:rsidR="003B16A3" w:rsidRPr="00925C57">
        <w:t xml:space="preserve">The RMSDs </w:t>
      </w:r>
      <w:r w:rsidR="00035907" w:rsidRPr="00925C57">
        <w:t xml:space="preserve">(Å) </w:t>
      </w:r>
      <w:r w:rsidR="003B16A3" w:rsidRPr="00925C57">
        <w:t xml:space="preserve">between the structures of the same drugs obtained from the docking to different pockets of N9. </w:t>
      </w:r>
      <w:r w:rsidR="007E0271" w:rsidRPr="00925C57">
        <w:rPr>
          <w:vertAlign w:val="superscript"/>
        </w:rPr>
        <w:t>1</w:t>
      </w:r>
      <w:r w:rsidRPr="00925C57">
        <w:rPr>
          <w:vertAlign w:val="superscript"/>
        </w:rPr>
        <w:t>.</w:t>
      </w:r>
    </w:p>
    <w:tbl>
      <w:tblPr>
        <w:tblStyle w:val="TableGrid"/>
        <w:tblW w:w="10465"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1"/>
        <w:gridCol w:w="1541"/>
        <w:gridCol w:w="1565"/>
        <w:gridCol w:w="1595"/>
        <w:gridCol w:w="1429"/>
        <w:gridCol w:w="1487"/>
        <w:gridCol w:w="1287"/>
      </w:tblGrid>
      <w:tr w:rsidR="00EB3D60" w:rsidRPr="00925C57" w14:paraId="5572BDD1" w14:textId="77777777" w:rsidTr="0079274B">
        <w:tc>
          <w:tcPr>
            <w:tcW w:w="1561" w:type="dxa"/>
            <w:tcBorders>
              <w:top w:val="single" w:sz="8" w:space="0" w:color="auto"/>
              <w:bottom w:val="single" w:sz="4" w:space="0" w:color="auto"/>
            </w:tcBorders>
            <w:shd w:val="clear" w:color="auto" w:fill="auto"/>
            <w:vAlign w:val="center"/>
          </w:tcPr>
          <w:p w14:paraId="07F89B8B" w14:textId="6BCC49B7" w:rsidR="00EB3D60" w:rsidRPr="00925C57" w:rsidRDefault="00EB3D60" w:rsidP="0079274B">
            <w:pPr>
              <w:autoSpaceDE w:val="0"/>
              <w:autoSpaceDN w:val="0"/>
              <w:adjustRightInd w:val="0"/>
              <w:snapToGrid w:val="0"/>
              <w:jc w:val="center"/>
              <w:rPr>
                <w:rFonts w:ascii="Times New Roman" w:eastAsia="Times New Roman" w:hAnsi="Times New Roman" w:cs="Times New Roman"/>
                <w:b/>
                <w:sz w:val="20"/>
                <w:szCs w:val="24"/>
                <w:lang w:val="en-US"/>
              </w:rPr>
            </w:pPr>
            <w:r w:rsidRPr="00925C57">
              <w:rPr>
                <w:rFonts w:ascii="Times New Roman" w:eastAsia="Times New Roman" w:hAnsi="Times New Roman" w:cs="Times New Roman"/>
                <w:b/>
                <w:sz w:val="20"/>
                <w:szCs w:val="24"/>
                <w:lang w:val="en-US"/>
              </w:rPr>
              <w:t>Mutant N</w:t>
            </w:r>
            <w:r w:rsidR="00035907" w:rsidRPr="00925C57">
              <w:rPr>
                <w:rFonts w:ascii="Times New Roman" w:eastAsia="Times New Roman" w:hAnsi="Times New Roman" w:cs="Times New Roman"/>
                <w:b/>
                <w:sz w:val="20"/>
                <w:szCs w:val="24"/>
                <w:lang w:val="en-US"/>
              </w:rPr>
              <w:t>9</w:t>
            </w:r>
          </w:p>
        </w:tc>
        <w:tc>
          <w:tcPr>
            <w:tcW w:w="1541" w:type="dxa"/>
            <w:tcBorders>
              <w:top w:val="single" w:sz="8" w:space="0" w:color="auto"/>
              <w:bottom w:val="single" w:sz="4" w:space="0" w:color="auto"/>
            </w:tcBorders>
            <w:shd w:val="clear" w:color="auto" w:fill="auto"/>
            <w:vAlign w:val="center"/>
          </w:tcPr>
          <w:p w14:paraId="6773E458" w14:textId="409D84E5" w:rsidR="00EB3D60" w:rsidRPr="00925C57" w:rsidRDefault="00EB3D60" w:rsidP="0079274B">
            <w:pPr>
              <w:autoSpaceDE w:val="0"/>
              <w:autoSpaceDN w:val="0"/>
              <w:adjustRightInd w:val="0"/>
              <w:snapToGrid w:val="0"/>
              <w:jc w:val="center"/>
              <w:rPr>
                <w:rFonts w:ascii="Times New Roman" w:eastAsia="Times New Roman" w:hAnsi="Times New Roman" w:cs="Times New Roman"/>
                <w:b/>
                <w:sz w:val="20"/>
                <w:szCs w:val="24"/>
                <w:lang w:val="en-US"/>
              </w:rPr>
            </w:pPr>
            <w:r w:rsidRPr="00925C57">
              <w:rPr>
                <w:rFonts w:ascii="Times New Roman" w:eastAsia="Times New Roman" w:hAnsi="Times New Roman" w:cs="Times New Roman"/>
                <w:b/>
                <w:sz w:val="20"/>
                <w:szCs w:val="24"/>
                <w:lang w:val="en-US"/>
              </w:rPr>
              <w:t xml:space="preserve">Oseltamivir4MWQ </w:t>
            </w:r>
          </w:p>
        </w:tc>
        <w:tc>
          <w:tcPr>
            <w:tcW w:w="1565" w:type="dxa"/>
            <w:tcBorders>
              <w:top w:val="single" w:sz="8" w:space="0" w:color="auto"/>
              <w:bottom w:val="single" w:sz="4" w:space="0" w:color="auto"/>
            </w:tcBorders>
            <w:shd w:val="clear" w:color="auto" w:fill="auto"/>
            <w:vAlign w:val="center"/>
          </w:tcPr>
          <w:p w14:paraId="640BF90B" w14:textId="3FA459B8" w:rsidR="00EB3D60" w:rsidRPr="00925C57" w:rsidRDefault="00CA09F6" w:rsidP="0079274B">
            <w:pPr>
              <w:autoSpaceDE w:val="0"/>
              <w:autoSpaceDN w:val="0"/>
              <w:adjustRightInd w:val="0"/>
              <w:snapToGrid w:val="0"/>
              <w:jc w:val="center"/>
              <w:rPr>
                <w:rFonts w:ascii="Times New Roman" w:eastAsia="Times New Roman" w:hAnsi="Times New Roman" w:cs="Times New Roman"/>
                <w:b/>
                <w:sz w:val="20"/>
                <w:szCs w:val="24"/>
                <w:lang w:val="en-US"/>
              </w:rPr>
            </w:pPr>
            <w:r w:rsidRPr="00925C57">
              <w:rPr>
                <w:rFonts w:ascii="Times New Roman" w:eastAsia="Times New Roman" w:hAnsi="Times New Roman" w:cs="Times New Roman"/>
                <w:b/>
                <w:sz w:val="20"/>
                <w:szCs w:val="24"/>
                <w:lang w:val="en-US"/>
              </w:rPr>
              <w:t>Zanamivir</w:t>
            </w:r>
            <w:r w:rsidR="00EB3D60" w:rsidRPr="00925C57">
              <w:rPr>
                <w:rFonts w:ascii="Times New Roman" w:eastAsia="Times New Roman" w:hAnsi="Times New Roman" w:cs="Times New Roman"/>
                <w:b/>
                <w:sz w:val="20"/>
                <w:szCs w:val="24"/>
                <w:lang w:val="en-US"/>
              </w:rPr>
              <w:t xml:space="preserve">-4MWQ </w:t>
            </w:r>
          </w:p>
        </w:tc>
        <w:tc>
          <w:tcPr>
            <w:tcW w:w="1595" w:type="dxa"/>
            <w:tcBorders>
              <w:top w:val="single" w:sz="8" w:space="0" w:color="auto"/>
              <w:bottom w:val="single" w:sz="4" w:space="0" w:color="auto"/>
            </w:tcBorders>
            <w:shd w:val="clear" w:color="auto" w:fill="auto"/>
            <w:vAlign w:val="center"/>
          </w:tcPr>
          <w:p w14:paraId="3A5E00E6" w14:textId="4EFD06BC" w:rsidR="00EB3D60" w:rsidRPr="00925C57" w:rsidRDefault="00EB3D60" w:rsidP="0079274B">
            <w:pPr>
              <w:autoSpaceDE w:val="0"/>
              <w:autoSpaceDN w:val="0"/>
              <w:adjustRightInd w:val="0"/>
              <w:snapToGrid w:val="0"/>
              <w:jc w:val="center"/>
              <w:rPr>
                <w:rFonts w:ascii="Times New Roman" w:eastAsia="Times New Roman" w:hAnsi="Times New Roman" w:cs="Times New Roman"/>
                <w:b/>
                <w:sz w:val="20"/>
                <w:szCs w:val="24"/>
                <w:lang w:val="en-US"/>
              </w:rPr>
            </w:pPr>
            <w:r w:rsidRPr="00925C57">
              <w:rPr>
                <w:rFonts w:ascii="Times New Roman" w:eastAsia="Times New Roman" w:hAnsi="Times New Roman" w:cs="Times New Roman"/>
                <w:b/>
                <w:sz w:val="20"/>
                <w:szCs w:val="24"/>
                <w:lang w:val="en-US"/>
              </w:rPr>
              <w:t xml:space="preserve">Peramivir-4MWQ </w:t>
            </w:r>
          </w:p>
        </w:tc>
        <w:tc>
          <w:tcPr>
            <w:tcW w:w="1429" w:type="dxa"/>
            <w:tcBorders>
              <w:top w:val="single" w:sz="8" w:space="0" w:color="auto"/>
              <w:bottom w:val="single" w:sz="4" w:space="0" w:color="auto"/>
            </w:tcBorders>
            <w:shd w:val="clear" w:color="auto" w:fill="auto"/>
            <w:vAlign w:val="center"/>
          </w:tcPr>
          <w:p w14:paraId="43555298" w14:textId="3AA946F3" w:rsidR="00EB3D60" w:rsidRPr="00925C57" w:rsidRDefault="00EB3D60" w:rsidP="0079274B">
            <w:pPr>
              <w:autoSpaceDE w:val="0"/>
              <w:autoSpaceDN w:val="0"/>
              <w:adjustRightInd w:val="0"/>
              <w:snapToGrid w:val="0"/>
              <w:jc w:val="center"/>
              <w:rPr>
                <w:rFonts w:ascii="Times New Roman" w:eastAsia="Times New Roman" w:hAnsi="Times New Roman" w:cs="Times New Roman"/>
                <w:b/>
                <w:sz w:val="20"/>
                <w:szCs w:val="24"/>
                <w:lang w:val="en-US"/>
              </w:rPr>
            </w:pPr>
            <w:r w:rsidRPr="00925C57">
              <w:rPr>
                <w:rFonts w:ascii="Times New Roman" w:eastAsia="Times New Roman" w:hAnsi="Times New Roman" w:cs="Times New Roman"/>
                <w:b/>
                <w:sz w:val="20"/>
                <w:szCs w:val="24"/>
                <w:lang w:val="en-US"/>
              </w:rPr>
              <w:t>Laninamivir-4MWQ</w:t>
            </w:r>
          </w:p>
        </w:tc>
        <w:tc>
          <w:tcPr>
            <w:tcW w:w="1487" w:type="dxa"/>
            <w:tcBorders>
              <w:top w:val="single" w:sz="8" w:space="0" w:color="auto"/>
              <w:bottom w:val="single" w:sz="4" w:space="0" w:color="auto"/>
            </w:tcBorders>
            <w:shd w:val="clear" w:color="auto" w:fill="auto"/>
            <w:vAlign w:val="center"/>
          </w:tcPr>
          <w:p w14:paraId="3B4E5F4B" w14:textId="18E4EB3E" w:rsidR="00EB3D60" w:rsidRPr="00925C57" w:rsidRDefault="00EB3D60" w:rsidP="0079274B">
            <w:pPr>
              <w:autoSpaceDE w:val="0"/>
              <w:autoSpaceDN w:val="0"/>
              <w:adjustRightInd w:val="0"/>
              <w:snapToGrid w:val="0"/>
              <w:jc w:val="center"/>
              <w:rPr>
                <w:rFonts w:ascii="Times New Roman" w:eastAsia="Times New Roman" w:hAnsi="Times New Roman" w:cs="Times New Roman"/>
                <w:b/>
                <w:sz w:val="20"/>
                <w:szCs w:val="24"/>
                <w:lang w:val="en-US"/>
              </w:rPr>
            </w:pPr>
            <w:r w:rsidRPr="00925C57">
              <w:rPr>
                <w:rFonts w:ascii="Times New Roman" w:eastAsia="Times New Roman" w:hAnsi="Times New Roman" w:cs="Times New Roman"/>
                <w:b/>
                <w:sz w:val="20"/>
                <w:szCs w:val="24"/>
                <w:lang w:val="en-US"/>
              </w:rPr>
              <w:t xml:space="preserve">L-Arginine-4MWQ </w:t>
            </w:r>
          </w:p>
        </w:tc>
        <w:tc>
          <w:tcPr>
            <w:tcW w:w="1287" w:type="dxa"/>
            <w:tcBorders>
              <w:top w:val="single" w:sz="8" w:space="0" w:color="auto"/>
              <w:bottom w:val="single" w:sz="4" w:space="0" w:color="auto"/>
            </w:tcBorders>
            <w:shd w:val="clear" w:color="auto" w:fill="auto"/>
            <w:vAlign w:val="center"/>
          </w:tcPr>
          <w:p w14:paraId="48AAA46D" w14:textId="5BA80BE1" w:rsidR="00EB3D60" w:rsidRPr="00925C57" w:rsidRDefault="00EB3D60" w:rsidP="0079274B">
            <w:pPr>
              <w:autoSpaceDE w:val="0"/>
              <w:autoSpaceDN w:val="0"/>
              <w:adjustRightInd w:val="0"/>
              <w:snapToGrid w:val="0"/>
              <w:jc w:val="center"/>
              <w:rPr>
                <w:rFonts w:ascii="Times New Roman" w:eastAsia="Times New Roman" w:hAnsi="Times New Roman" w:cs="Times New Roman"/>
                <w:b/>
                <w:sz w:val="20"/>
                <w:szCs w:val="24"/>
                <w:lang w:val="en-US"/>
              </w:rPr>
            </w:pPr>
            <w:proofErr w:type="gramStart"/>
            <w:r w:rsidRPr="00925C57">
              <w:rPr>
                <w:rFonts w:ascii="Times New Roman" w:eastAsia="Times New Roman" w:hAnsi="Times New Roman" w:cs="Times New Roman"/>
                <w:b/>
                <w:sz w:val="20"/>
                <w:szCs w:val="24"/>
                <w:lang w:val="en-US"/>
              </w:rPr>
              <w:t>Bens.-</w:t>
            </w:r>
            <w:proofErr w:type="gramEnd"/>
            <w:r w:rsidRPr="00925C57">
              <w:rPr>
                <w:rFonts w:ascii="Times New Roman" w:eastAsia="Times New Roman" w:hAnsi="Times New Roman" w:cs="Times New Roman"/>
                <w:b/>
                <w:sz w:val="20"/>
                <w:szCs w:val="24"/>
                <w:lang w:val="en-US"/>
              </w:rPr>
              <w:t>Hydrochl.-4MWQ</w:t>
            </w:r>
          </w:p>
        </w:tc>
      </w:tr>
      <w:tr w:rsidR="00EB3D60" w:rsidRPr="00925C57" w14:paraId="5ED6DB19" w14:textId="77777777" w:rsidTr="0079274B">
        <w:tc>
          <w:tcPr>
            <w:tcW w:w="1561" w:type="dxa"/>
            <w:tcBorders>
              <w:top w:val="single" w:sz="4" w:space="0" w:color="auto"/>
            </w:tcBorders>
            <w:shd w:val="clear" w:color="auto" w:fill="auto"/>
            <w:vAlign w:val="center"/>
          </w:tcPr>
          <w:p w14:paraId="2DE8DB0F" w14:textId="6B904FF6" w:rsidR="00EB3D60" w:rsidRPr="00925C57" w:rsidRDefault="00EB3D60" w:rsidP="0079274B">
            <w:pPr>
              <w:autoSpaceDE w:val="0"/>
              <w:autoSpaceDN w:val="0"/>
              <w:adjustRightInd w:val="0"/>
              <w:snapToGrid w:val="0"/>
              <w:jc w:val="center"/>
              <w:rPr>
                <w:rFonts w:ascii="Times New Roman" w:eastAsia="Times New Roman" w:hAnsi="Times New Roman" w:cs="Times New Roman"/>
                <w:b/>
                <w:sz w:val="20"/>
                <w:szCs w:val="24"/>
                <w:lang w:val="en-US"/>
              </w:rPr>
            </w:pPr>
            <w:r w:rsidRPr="00925C57">
              <w:rPr>
                <w:rFonts w:ascii="Times New Roman" w:eastAsia="Times New Roman" w:hAnsi="Times New Roman" w:cs="Times New Roman"/>
                <w:b/>
                <w:sz w:val="20"/>
                <w:szCs w:val="24"/>
                <w:lang w:val="en-US"/>
              </w:rPr>
              <w:t>R294K (4MWW)</w:t>
            </w:r>
          </w:p>
        </w:tc>
        <w:tc>
          <w:tcPr>
            <w:tcW w:w="1541" w:type="dxa"/>
            <w:tcBorders>
              <w:top w:val="single" w:sz="4" w:space="0" w:color="auto"/>
            </w:tcBorders>
            <w:shd w:val="clear" w:color="auto" w:fill="auto"/>
            <w:vAlign w:val="center"/>
          </w:tcPr>
          <w:p w14:paraId="5928AA03" w14:textId="3B0D2C03"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1.0</w:t>
            </w:r>
          </w:p>
        </w:tc>
        <w:tc>
          <w:tcPr>
            <w:tcW w:w="1565" w:type="dxa"/>
            <w:tcBorders>
              <w:top w:val="single" w:sz="4" w:space="0" w:color="auto"/>
            </w:tcBorders>
            <w:shd w:val="clear" w:color="auto" w:fill="auto"/>
            <w:vAlign w:val="center"/>
          </w:tcPr>
          <w:p w14:paraId="080F0D95" w14:textId="01793860"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0.8</w:t>
            </w:r>
          </w:p>
        </w:tc>
        <w:tc>
          <w:tcPr>
            <w:tcW w:w="1595" w:type="dxa"/>
            <w:tcBorders>
              <w:top w:val="single" w:sz="4" w:space="0" w:color="auto"/>
            </w:tcBorders>
            <w:shd w:val="clear" w:color="auto" w:fill="auto"/>
            <w:vAlign w:val="center"/>
          </w:tcPr>
          <w:p w14:paraId="4488D476" w14:textId="3CAD9E7B"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0.8</w:t>
            </w:r>
          </w:p>
        </w:tc>
        <w:tc>
          <w:tcPr>
            <w:tcW w:w="1429" w:type="dxa"/>
            <w:tcBorders>
              <w:top w:val="single" w:sz="4" w:space="0" w:color="auto"/>
            </w:tcBorders>
            <w:shd w:val="clear" w:color="auto" w:fill="auto"/>
            <w:vAlign w:val="center"/>
          </w:tcPr>
          <w:p w14:paraId="504B89B5" w14:textId="02D15496"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0.5</w:t>
            </w:r>
          </w:p>
        </w:tc>
        <w:tc>
          <w:tcPr>
            <w:tcW w:w="1487" w:type="dxa"/>
            <w:tcBorders>
              <w:top w:val="single" w:sz="4" w:space="0" w:color="auto"/>
            </w:tcBorders>
            <w:shd w:val="clear" w:color="auto" w:fill="auto"/>
            <w:vAlign w:val="center"/>
          </w:tcPr>
          <w:p w14:paraId="7CEED298" w14:textId="473AB1C6"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1.2</w:t>
            </w:r>
          </w:p>
        </w:tc>
        <w:tc>
          <w:tcPr>
            <w:tcW w:w="1287" w:type="dxa"/>
            <w:tcBorders>
              <w:top w:val="single" w:sz="4" w:space="0" w:color="auto"/>
            </w:tcBorders>
            <w:shd w:val="clear" w:color="auto" w:fill="auto"/>
            <w:vAlign w:val="center"/>
          </w:tcPr>
          <w:p w14:paraId="71121C5C" w14:textId="7E6D8B70"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2.2</w:t>
            </w:r>
          </w:p>
        </w:tc>
      </w:tr>
      <w:tr w:rsidR="00EB3D60" w:rsidRPr="00925C57" w14:paraId="584CDDF3" w14:textId="77777777" w:rsidTr="0079274B">
        <w:tc>
          <w:tcPr>
            <w:tcW w:w="1561" w:type="dxa"/>
            <w:shd w:val="clear" w:color="auto" w:fill="auto"/>
            <w:vAlign w:val="center"/>
          </w:tcPr>
          <w:p w14:paraId="73A03AA6" w14:textId="77777777" w:rsidR="00EB3D60" w:rsidRPr="00925C57" w:rsidRDefault="00EB3D60" w:rsidP="0079274B">
            <w:pPr>
              <w:autoSpaceDE w:val="0"/>
              <w:autoSpaceDN w:val="0"/>
              <w:adjustRightInd w:val="0"/>
              <w:snapToGrid w:val="0"/>
              <w:jc w:val="center"/>
              <w:rPr>
                <w:rFonts w:ascii="Times New Roman" w:eastAsia="Times New Roman" w:hAnsi="Times New Roman" w:cs="Times New Roman"/>
                <w:b/>
                <w:sz w:val="20"/>
                <w:szCs w:val="24"/>
                <w:lang w:val="en-US"/>
              </w:rPr>
            </w:pPr>
            <w:r w:rsidRPr="00925C57">
              <w:rPr>
                <w:rFonts w:ascii="Times New Roman" w:eastAsia="Times New Roman" w:hAnsi="Times New Roman" w:cs="Times New Roman"/>
                <w:b/>
                <w:sz w:val="20"/>
                <w:szCs w:val="24"/>
                <w:lang w:val="en-US"/>
              </w:rPr>
              <w:t>R119K</w:t>
            </w:r>
          </w:p>
        </w:tc>
        <w:tc>
          <w:tcPr>
            <w:tcW w:w="1541" w:type="dxa"/>
            <w:shd w:val="clear" w:color="auto" w:fill="auto"/>
            <w:vAlign w:val="center"/>
          </w:tcPr>
          <w:p w14:paraId="64F6FA13" w14:textId="528B2ADB"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1.0</w:t>
            </w:r>
          </w:p>
        </w:tc>
        <w:tc>
          <w:tcPr>
            <w:tcW w:w="1565" w:type="dxa"/>
            <w:shd w:val="clear" w:color="auto" w:fill="auto"/>
            <w:vAlign w:val="center"/>
          </w:tcPr>
          <w:p w14:paraId="71E489D5" w14:textId="65C61ADE"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1.4</w:t>
            </w:r>
          </w:p>
        </w:tc>
        <w:tc>
          <w:tcPr>
            <w:tcW w:w="1595" w:type="dxa"/>
            <w:shd w:val="clear" w:color="auto" w:fill="auto"/>
            <w:vAlign w:val="center"/>
          </w:tcPr>
          <w:p w14:paraId="6788B5E6" w14:textId="4F055243"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0.8</w:t>
            </w:r>
          </w:p>
        </w:tc>
        <w:tc>
          <w:tcPr>
            <w:tcW w:w="1429" w:type="dxa"/>
            <w:shd w:val="clear" w:color="auto" w:fill="auto"/>
            <w:vAlign w:val="center"/>
          </w:tcPr>
          <w:p w14:paraId="02B72CC6" w14:textId="1D794399"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1.5</w:t>
            </w:r>
          </w:p>
        </w:tc>
        <w:tc>
          <w:tcPr>
            <w:tcW w:w="1487" w:type="dxa"/>
            <w:shd w:val="clear" w:color="auto" w:fill="auto"/>
            <w:vAlign w:val="center"/>
          </w:tcPr>
          <w:p w14:paraId="483D50D7" w14:textId="1978C89D"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1.5</w:t>
            </w:r>
          </w:p>
        </w:tc>
        <w:tc>
          <w:tcPr>
            <w:tcW w:w="1287" w:type="dxa"/>
            <w:shd w:val="clear" w:color="auto" w:fill="auto"/>
            <w:vAlign w:val="center"/>
          </w:tcPr>
          <w:p w14:paraId="735328B0" w14:textId="21703F27"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2.2</w:t>
            </w:r>
          </w:p>
        </w:tc>
      </w:tr>
      <w:tr w:rsidR="00EB3D60" w:rsidRPr="00925C57" w14:paraId="4480BB8F" w14:textId="77777777" w:rsidTr="0079274B">
        <w:tc>
          <w:tcPr>
            <w:tcW w:w="1561" w:type="dxa"/>
            <w:shd w:val="clear" w:color="auto" w:fill="auto"/>
            <w:vAlign w:val="center"/>
          </w:tcPr>
          <w:p w14:paraId="17EB906A" w14:textId="77777777" w:rsidR="00EB3D60" w:rsidRPr="00925C57" w:rsidRDefault="00EB3D60" w:rsidP="0079274B">
            <w:pPr>
              <w:autoSpaceDE w:val="0"/>
              <w:autoSpaceDN w:val="0"/>
              <w:adjustRightInd w:val="0"/>
              <w:snapToGrid w:val="0"/>
              <w:jc w:val="center"/>
              <w:rPr>
                <w:rFonts w:ascii="Times New Roman" w:eastAsia="Times New Roman" w:hAnsi="Times New Roman" w:cs="Times New Roman"/>
                <w:b/>
                <w:sz w:val="20"/>
                <w:szCs w:val="24"/>
                <w:lang w:val="en-US"/>
              </w:rPr>
            </w:pPr>
            <w:r w:rsidRPr="00925C57">
              <w:rPr>
                <w:rFonts w:ascii="Times New Roman" w:eastAsia="Times New Roman" w:hAnsi="Times New Roman" w:cs="Times New Roman"/>
                <w:b/>
                <w:sz w:val="20"/>
                <w:szCs w:val="24"/>
                <w:lang w:val="en-US"/>
              </w:rPr>
              <w:t>R372K</w:t>
            </w:r>
          </w:p>
        </w:tc>
        <w:tc>
          <w:tcPr>
            <w:tcW w:w="1541" w:type="dxa"/>
            <w:shd w:val="clear" w:color="auto" w:fill="auto"/>
            <w:vAlign w:val="center"/>
          </w:tcPr>
          <w:p w14:paraId="431003E1" w14:textId="28A84DB5"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2.7</w:t>
            </w:r>
          </w:p>
        </w:tc>
        <w:tc>
          <w:tcPr>
            <w:tcW w:w="1565" w:type="dxa"/>
            <w:shd w:val="clear" w:color="auto" w:fill="auto"/>
            <w:vAlign w:val="center"/>
          </w:tcPr>
          <w:p w14:paraId="5871B29E" w14:textId="68B26C43"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1.6</w:t>
            </w:r>
          </w:p>
        </w:tc>
        <w:tc>
          <w:tcPr>
            <w:tcW w:w="1595" w:type="dxa"/>
            <w:shd w:val="clear" w:color="auto" w:fill="auto"/>
            <w:vAlign w:val="center"/>
          </w:tcPr>
          <w:p w14:paraId="1CDE361C" w14:textId="0274C40A"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0.9</w:t>
            </w:r>
          </w:p>
        </w:tc>
        <w:tc>
          <w:tcPr>
            <w:tcW w:w="1429" w:type="dxa"/>
            <w:shd w:val="clear" w:color="auto" w:fill="auto"/>
            <w:vAlign w:val="center"/>
          </w:tcPr>
          <w:p w14:paraId="13CE9A6E" w14:textId="6A3F75D9"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1.5</w:t>
            </w:r>
          </w:p>
        </w:tc>
        <w:tc>
          <w:tcPr>
            <w:tcW w:w="1487" w:type="dxa"/>
            <w:shd w:val="clear" w:color="auto" w:fill="auto"/>
            <w:vAlign w:val="center"/>
          </w:tcPr>
          <w:p w14:paraId="780721A9" w14:textId="3C0665E4"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4.1</w:t>
            </w:r>
          </w:p>
        </w:tc>
        <w:tc>
          <w:tcPr>
            <w:tcW w:w="1287" w:type="dxa"/>
            <w:shd w:val="clear" w:color="auto" w:fill="auto"/>
            <w:vAlign w:val="center"/>
          </w:tcPr>
          <w:p w14:paraId="44A336F9" w14:textId="1C5B4DB6"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2.7</w:t>
            </w:r>
          </w:p>
        </w:tc>
      </w:tr>
      <w:tr w:rsidR="00EB3D60" w:rsidRPr="00925C57" w14:paraId="54C44297" w14:textId="77777777" w:rsidTr="0079274B">
        <w:tc>
          <w:tcPr>
            <w:tcW w:w="1561" w:type="dxa"/>
            <w:shd w:val="clear" w:color="auto" w:fill="auto"/>
            <w:vAlign w:val="center"/>
          </w:tcPr>
          <w:p w14:paraId="19A83345" w14:textId="294A9E8B" w:rsidR="00EB3D60" w:rsidRPr="00925C57" w:rsidRDefault="00EB3D60" w:rsidP="0079274B">
            <w:pPr>
              <w:autoSpaceDE w:val="0"/>
              <w:autoSpaceDN w:val="0"/>
              <w:adjustRightInd w:val="0"/>
              <w:snapToGrid w:val="0"/>
              <w:jc w:val="center"/>
              <w:rPr>
                <w:rFonts w:ascii="Times New Roman" w:eastAsia="Times New Roman" w:hAnsi="Times New Roman" w:cs="Times New Roman"/>
                <w:b/>
                <w:sz w:val="20"/>
                <w:szCs w:val="24"/>
                <w:lang w:val="en-US"/>
              </w:rPr>
            </w:pPr>
            <w:r w:rsidRPr="00925C57">
              <w:rPr>
                <w:rFonts w:ascii="Times New Roman" w:eastAsia="Times New Roman" w:hAnsi="Times New Roman" w:cs="Times New Roman"/>
                <w:b/>
                <w:sz w:val="20"/>
                <w:szCs w:val="24"/>
                <w:lang w:val="en-US"/>
              </w:rPr>
              <w:t>R119_372K</w:t>
            </w:r>
          </w:p>
        </w:tc>
        <w:tc>
          <w:tcPr>
            <w:tcW w:w="1541" w:type="dxa"/>
            <w:shd w:val="clear" w:color="auto" w:fill="auto"/>
            <w:vAlign w:val="center"/>
          </w:tcPr>
          <w:p w14:paraId="64C39B22" w14:textId="0432AA36"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1.5</w:t>
            </w:r>
          </w:p>
        </w:tc>
        <w:tc>
          <w:tcPr>
            <w:tcW w:w="1565" w:type="dxa"/>
            <w:shd w:val="clear" w:color="auto" w:fill="auto"/>
            <w:vAlign w:val="center"/>
          </w:tcPr>
          <w:p w14:paraId="3F23429D" w14:textId="5B45C86A"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0.8</w:t>
            </w:r>
          </w:p>
        </w:tc>
        <w:tc>
          <w:tcPr>
            <w:tcW w:w="1595" w:type="dxa"/>
            <w:shd w:val="clear" w:color="auto" w:fill="auto"/>
            <w:vAlign w:val="center"/>
          </w:tcPr>
          <w:p w14:paraId="46BF6404" w14:textId="662551C3"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0.8</w:t>
            </w:r>
          </w:p>
        </w:tc>
        <w:tc>
          <w:tcPr>
            <w:tcW w:w="1429" w:type="dxa"/>
            <w:shd w:val="clear" w:color="auto" w:fill="auto"/>
            <w:vAlign w:val="center"/>
          </w:tcPr>
          <w:p w14:paraId="376CC545" w14:textId="4C6F7A1B"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1.5</w:t>
            </w:r>
          </w:p>
        </w:tc>
        <w:tc>
          <w:tcPr>
            <w:tcW w:w="1487" w:type="dxa"/>
            <w:shd w:val="clear" w:color="auto" w:fill="auto"/>
            <w:vAlign w:val="center"/>
          </w:tcPr>
          <w:p w14:paraId="62D8BD68" w14:textId="29A2DBB8"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5.4</w:t>
            </w:r>
          </w:p>
        </w:tc>
        <w:tc>
          <w:tcPr>
            <w:tcW w:w="1287" w:type="dxa"/>
            <w:shd w:val="clear" w:color="auto" w:fill="auto"/>
            <w:vAlign w:val="center"/>
          </w:tcPr>
          <w:p w14:paraId="2FE73AB7" w14:textId="75C0F3B7" w:rsidR="00EB3D60" w:rsidRPr="00925C57" w:rsidRDefault="0009555A"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0.9</w:t>
            </w:r>
          </w:p>
        </w:tc>
      </w:tr>
      <w:tr w:rsidR="00EB3D60" w:rsidRPr="00925C57" w14:paraId="7E92DD5C" w14:textId="77777777" w:rsidTr="0079274B">
        <w:tc>
          <w:tcPr>
            <w:tcW w:w="1561" w:type="dxa"/>
            <w:shd w:val="clear" w:color="auto" w:fill="auto"/>
            <w:vAlign w:val="center"/>
          </w:tcPr>
          <w:p w14:paraId="083B78F8" w14:textId="5EB9EFA8" w:rsidR="00EB3D60" w:rsidRPr="00925C57" w:rsidRDefault="00EB3D60" w:rsidP="0079274B">
            <w:pPr>
              <w:autoSpaceDE w:val="0"/>
              <w:autoSpaceDN w:val="0"/>
              <w:adjustRightInd w:val="0"/>
              <w:snapToGrid w:val="0"/>
              <w:jc w:val="center"/>
              <w:rPr>
                <w:rFonts w:ascii="Times New Roman" w:eastAsia="Times New Roman" w:hAnsi="Times New Roman" w:cs="Times New Roman"/>
                <w:b/>
                <w:sz w:val="20"/>
                <w:szCs w:val="24"/>
                <w:lang w:val="en-US"/>
              </w:rPr>
            </w:pPr>
            <w:r w:rsidRPr="00925C57">
              <w:rPr>
                <w:rFonts w:ascii="Times New Roman" w:eastAsia="Times New Roman" w:hAnsi="Times New Roman" w:cs="Times New Roman"/>
                <w:b/>
                <w:sz w:val="20"/>
                <w:szCs w:val="24"/>
                <w:lang w:val="en-US"/>
              </w:rPr>
              <w:lastRenderedPageBreak/>
              <w:t>R294_119K</w:t>
            </w:r>
          </w:p>
        </w:tc>
        <w:tc>
          <w:tcPr>
            <w:tcW w:w="1541" w:type="dxa"/>
            <w:shd w:val="clear" w:color="auto" w:fill="auto"/>
            <w:vAlign w:val="center"/>
          </w:tcPr>
          <w:p w14:paraId="6C9C7AF6" w14:textId="0EFE7AEE"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6.4</w:t>
            </w:r>
          </w:p>
        </w:tc>
        <w:tc>
          <w:tcPr>
            <w:tcW w:w="1565" w:type="dxa"/>
            <w:shd w:val="clear" w:color="auto" w:fill="auto"/>
            <w:vAlign w:val="center"/>
          </w:tcPr>
          <w:p w14:paraId="4A262A66" w14:textId="211DA266"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7.3</w:t>
            </w:r>
          </w:p>
        </w:tc>
        <w:tc>
          <w:tcPr>
            <w:tcW w:w="1595" w:type="dxa"/>
            <w:shd w:val="clear" w:color="auto" w:fill="auto"/>
            <w:vAlign w:val="center"/>
          </w:tcPr>
          <w:p w14:paraId="35356EC9" w14:textId="6A9C00B2"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4.6</w:t>
            </w:r>
          </w:p>
        </w:tc>
        <w:tc>
          <w:tcPr>
            <w:tcW w:w="1429" w:type="dxa"/>
            <w:shd w:val="clear" w:color="auto" w:fill="auto"/>
            <w:vAlign w:val="center"/>
          </w:tcPr>
          <w:p w14:paraId="5DE7E5CA" w14:textId="489D8FF3"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5.2</w:t>
            </w:r>
          </w:p>
        </w:tc>
        <w:tc>
          <w:tcPr>
            <w:tcW w:w="1487" w:type="dxa"/>
            <w:shd w:val="clear" w:color="auto" w:fill="auto"/>
            <w:vAlign w:val="center"/>
          </w:tcPr>
          <w:p w14:paraId="24676F3F" w14:textId="46F8C1F3"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5.9</w:t>
            </w:r>
          </w:p>
        </w:tc>
        <w:tc>
          <w:tcPr>
            <w:tcW w:w="1287" w:type="dxa"/>
            <w:shd w:val="clear" w:color="auto" w:fill="auto"/>
            <w:vAlign w:val="center"/>
          </w:tcPr>
          <w:p w14:paraId="2F2376D7" w14:textId="0652A0F4" w:rsidR="00EB3D60" w:rsidRPr="00925C57" w:rsidRDefault="0009555A"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6.1</w:t>
            </w:r>
          </w:p>
        </w:tc>
      </w:tr>
      <w:tr w:rsidR="00EB3D60" w:rsidRPr="00925C57" w14:paraId="1834BE12" w14:textId="77777777" w:rsidTr="0079274B">
        <w:tc>
          <w:tcPr>
            <w:tcW w:w="1561" w:type="dxa"/>
            <w:shd w:val="clear" w:color="auto" w:fill="auto"/>
            <w:vAlign w:val="center"/>
          </w:tcPr>
          <w:p w14:paraId="634308A8" w14:textId="43840BC3" w:rsidR="00EB3D60" w:rsidRPr="00925C57" w:rsidRDefault="00EB3D60" w:rsidP="0079274B">
            <w:pPr>
              <w:autoSpaceDE w:val="0"/>
              <w:autoSpaceDN w:val="0"/>
              <w:adjustRightInd w:val="0"/>
              <w:snapToGrid w:val="0"/>
              <w:jc w:val="center"/>
              <w:rPr>
                <w:rFonts w:ascii="Times New Roman" w:eastAsia="Times New Roman" w:hAnsi="Times New Roman" w:cs="Times New Roman"/>
                <w:b/>
                <w:sz w:val="20"/>
                <w:szCs w:val="24"/>
                <w:lang w:val="en-US"/>
              </w:rPr>
            </w:pPr>
            <w:r w:rsidRPr="00925C57">
              <w:rPr>
                <w:rFonts w:ascii="Times New Roman" w:eastAsia="Times New Roman" w:hAnsi="Times New Roman" w:cs="Times New Roman"/>
                <w:b/>
                <w:sz w:val="20"/>
                <w:szCs w:val="24"/>
                <w:lang w:val="en-US"/>
              </w:rPr>
              <w:t>R294_372K</w:t>
            </w:r>
          </w:p>
        </w:tc>
        <w:tc>
          <w:tcPr>
            <w:tcW w:w="1541" w:type="dxa"/>
            <w:shd w:val="clear" w:color="auto" w:fill="auto"/>
            <w:vAlign w:val="center"/>
          </w:tcPr>
          <w:p w14:paraId="1DB00726" w14:textId="5889B82A"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4.0</w:t>
            </w:r>
          </w:p>
        </w:tc>
        <w:tc>
          <w:tcPr>
            <w:tcW w:w="1565" w:type="dxa"/>
            <w:shd w:val="clear" w:color="auto" w:fill="auto"/>
            <w:vAlign w:val="center"/>
          </w:tcPr>
          <w:p w14:paraId="050F08C9" w14:textId="5EB3C17C"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0.8</w:t>
            </w:r>
          </w:p>
        </w:tc>
        <w:tc>
          <w:tcPr>
            <w:tcW w:w="1595" w:type="dxa"/>
            <w:shd w:val="clear" w:color="auto" w:fill="auto"/>
            <w:vAlign w:val="center"/>
          </w:tcPr>
          <w:p w14:paraId="2CD0C18A" w14:textId="39629770"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4.8</w:t>
            </w:r>
          </w:p>
        </w:tc>
        <w:tc>
          <w:tcPr>
            <w:tcW w:w="1429" w:type="dxa"/>
            <w:shd w:val="clear" w:color="auto" w:fill="auto"/>
            <w:vAlign w:val="center"/>
          </w:tcPr>
          <w:p w14:paraId="5F9D9FA6" w14:textId="55FDAD0C"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1.2</w:t>
            </w:r>
          </w:p>
        </w:tc>
        <w:tc>
          <w:tcPr>
            <w:tcW w:w="1487" w:type="dxa"/>
            <w:shd w:val="clear" w:color="auto" w:fill="auto"/>
            <w:vAlign w:val="center"/>
          </w:tcPr>
          <w:p w14:paraId="3D029F50" w14:textId="2AAAAFC5"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1.5</w:t>
            </w:r>
          </w:p>
        </w:tc>
        <w:tc>
          <w:tcPr>
            <w:tcW w:w="1287" w:type="dxa"/>
            <w:shd w:val="clear" w:color="auto" w:fill="auto"/>
            <w:vAlign w:val="center"/>
          </w:tcPr>
          <w:p w14:paraId="28A68B24" w14:textId="2AF572A7" w:rsidR="00EB3D60" w:rsidRPr="00925C57" w:rsidRDefault="0009555A"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3.0</w:t>
            </w:r>
          </w:p>
        </w:tc>
      </w:tr>
      <w:tr w:rsidR="00EB3D60" w:rsidRPr="00925C57" w14:paraId="6122F78D" w14:textId="77777777" w:rsidTr="0079274B">
        <w:tc>
          <w:tcPr>
            <w:tcW w:w="1561" w:type="dxa"/>
            <w:shd w:val="clear" w:color="auto" w:fill="auto"/>
            <w:vAlign w:val="center"/>
          </w:tcPr>
          <w:p w14:paraId="3A6C71C9" w14:textId="317C0836" w:rsidR="00EB3D60" w:rsidRPr="00925C57" w:rsidRDefault="00035907" w:rsidP="0079274B">
            <w:pPr>
              <w:autoSpaceDE w:val="0"/>
              <w:autoSpaceDN w:val="0"/>
              <w:adjustRightInd w:val="0"/>
              <w:snapToGrid w:val="0"/>
              <w:jc w:val="center"/>
              <w:rPr>
                <w:rFonts w:ascii="Times New Roman" w:eastAsia="Times New Roman" w:hAnsi="Times New Roman" w:cs="Times New Roman"/>
                <w:b/>
                <w:sz w:val="20"/>
                <w:szCs w:val="24"/>
                <w:lang w:val="en-US"/>
              </w:rPr>
            </w:pPr>
            <w:r w:rsidRPr="00925C57">
              <w:rPr>
                <w:rFonts w:ascii="Times New Roman" w:eastAsia="Times New Roman" w:hAnsi="Times New Roman" w:cs="Times New Roman"/>
                <w:b/>
                <w:sz w:val="20"/>
                <w:szCs w:val="24"/>
                <w:lang w:val="en-US"/>
              </w:rPr>
              <w:t>R294_</w:t>
            </w:r>
            <w:r w:rsidR="00EB3D60" w:rsidRPr="00925C57">
              <w:rPr>
                <w:rFonts w:ascii="Times New Roman" w:eastAsia="Times New Roman" w:hAnsi="Times New Roman" w:cs="Times New Roman"/>
                <w:b/>
                <w:sz w:val="20"/>
                <w:szCs w:val="24"/>
                <w:lang w:val="en-US"/>
              </w:rPr>
              <w:t>119</w:t>
            </w:r>
            <w:r w:rsidRPr="00925C57">
              <w:rPr>
                <w:rFonts w:ascii="Times New Roman" w:eastAsia="Times New Roman" w:hAnsi="Times New Roman" w:cs="Times New Roman"/>
                <w:b/>
                <w:sz w:val="20"/>
                <w:szCs w:val="24"/>
                <w:lang w:val="en-US"/>
              </w:rPr>
              <w:t>_</w:t>
            </w:r>
            <w:r w:rsidR="00EB3D60" w:rsidRPr="00925C57">
              <w:rPr>
                <w:rFonts w:ascii="Times New Roman" w:eastAsia="Times New Roman" w:hAnsi="Times New Roman" w:cs="Times New Roman"/>
                <w:b/>
                <w:sz w:val="20"/>
                <w:szCs w:val="24"/>
                <w:lang w:val="en-US"/>
              </w:rPr>
              <w:t>372K</w:t>
            </w:r>
          </w:p>
        </w:tc>
        <w:tc>
          <w:tcPr>
            <w:tcW w:w="1541" w:type="dxa"/>
            <w:shd w:val="clear" w:color="auto" w:fill="auto"/>
            <w:vAlign w:val="center"/>
          </w:tcPr>
          <w:p w14:paraId="6D55FD2A" w14:textId="4370A340"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10.8</w:t>
            </w:r>
          </w:p>
        </w:tc>
        <w:tc>
          <w:tcPr>
            <w:tcW w:w="1565" w:type="dxa"/>
            <w:shd w:val="clear" w:color="auto" w:fill="auto"/>
            <w:vAlign w:val="center"/>
          </w:tcPr>
          <w:p w14:paraId="16DE2999" w14:textId="322DF6E0"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0.7</w:t>
            </w:r>
          </w:p>
        </w:tc>
        <w:tc>
          <w:tcPr>
            <w:tcW w:w="1595" w:type="dxa"/>
            <w:shd w:val="clear" w:color="auto" w:fill="auto"/>
            <w:vAlign w:val="center"/>
          </w:tcPr>
          <w:p w14:paraId="63EE9770" w14:textId="5ACC019D"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4.6</w:t>
            </w:r>
          </w:p>
        </w:tc>
        <w:tc>
          <w:tcPr>
            <w:tcW w:w="1429" w:type="dxa"/>
            <w:shd w:val="clear" w:color="auto" w:fill="auto"/>
            <w:vAlign w:val="center"/>
          </w:tcPr>
          <w:p w14:paraId="5334A11E" w14:textId="7F99AF09"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5.2</w:t>
            </w:r>
          </w:p>
        </w:tc>
        <w:tc>
          <w:tcPr>
            <w:tcW w:w="1487" w:type="dxa"/>
            <w:shd w:val="clear" w:color="auto" w:fill="auto"/>
            <w:vAlign w:val="center"/>
          </w:tcPr>
          <w:p w14:paraId="2515D849" w14:textId="56C03DBD"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6.6</w:t>
            </w:r>
          </w:p>
        </w:tc>
        <w:tc>
          <w:tcPr>
            <w:tcW w:w="1287" w:type="dxa"/>
            <w:shd w:val="clear" w:color="auto" w:fill="auto"/>
            <w:vAlign w:val="center"/>
          </w:tcPr>
          <w:p w14:paraId="521740EF" w14:textId="4FBE6786" w:rsidR="00EB3D60" w:rsidRPr="00925C57" w:rsidRDefault="001B688D" w:rsidP="0079274B">
            <w:pPr>
              <w:autoSpaceDE w:val="0"/>
              <w:autoSpaceDN w:val="0"/>
              <w:adjustRightInd w:val="0"/>
              <w:snapToGrid w:val="0"/>
              <w:jc w:val="center"/>
              <w:rPr>
                <w:rFonts w:ascii="Times New Roman" w:eastAsia="Times New Roman" w:hAnsi="Times New Roman" w:cs="Times New Roman"/>
                <w:sz w:val="20"/>
                <w:szCs w:val="24"/>
                <w:lang w:val="en-US"/>
              </w:rPr>
            </w:pPr>
            <w:r w:rsidRPr="00925C57">
              <w:rPr>
                <w:rFonts w:ascii="Times New Roman" w:eastAsia="Times New Roman" w:hAnsi="Times New Roman" w:cs="Times New Roman"/>
                <w:sz w:val="20"/>
                <w:szCs w:val="24"/>
                <w:lang w:val="en-US"/>
              </w:rPr>
              <w:t>3.6</w:t>
            </w:r>
          </w:p>
        </w:tc>
      </w:tr>
    </w:tbl>
    <w:p w14:paraId="2C32CC9E" w14:textId="5DDE6ABA" w:rsidR="007E0271" w:rsidRPr="00925C57" w:rsidRDefault="007E0271" w:rsidP="0079274B">
      <w:pPr>
        <w:pStyle w:val="MDPI43tablefooter"/>
        <w:ind w:left="425" w:right="425"/>
        <w:jc w:val="both"/>
      </w:pPr>
      <w:r w:rsidRPr="00925C57">
        <w:rPr>
          <w:vertAlign w:val="superscript"/>
        </w:rPr>
        <w:t>1</w:t>
      </w:r>
      <w:r w:rsidRPr="00925C57">
        <w:t>All the values are calculated with respect to the structure docked to the wild type NA (4MWQ) taken here as a reference.</w:t>
      </w:r>
    </w:p>
    <w:p w14:paraId="17F8D166" w14:textId="263CD802" w:rsidR="006B3812" w:rsidRPr="00925C57" w:rsidRDefault="00235BD9" w:rsidP="0079274B">
      <w:pPr>
        <w:pStyle w:val="MDPI22heading2"/>
        <w:spacing w:before="240"/>
      </w:pPr>
      <w:r w:rsidRPr="00925C57">
        <w:t xml:space="preserve">2.5. </w:t>
      </w:r>
      <w:r w:rsidR="003B59A2" w:rsidRPr="00925C57">
        <w:t xml:space="preserve">Identification of the </w:t>
      </w:r>
      <w:r w:rsidR="00EF669F" w:rsidRPr="00925C57">
        <w:t xml:space="preserve">Best Fitting Drug </w:t>
      </w:r>
      <w:r w:rsidR="003B59A2" w:rsidRPr="00925C57">
        <w:t xml:space="preserve">to the </w:t>
      </w:r>
      <w:r w:rsidR="00EF669F" w:rsidRPr="00925C57">
        <w:t>P</w:t>
      </w:r>
      <w:r w:rsidR="003B59A2" w:rsidRPr="00925C57">
        <w:t>ocket.</w:t>
      </w:r>
    </w:p>
    <w:p w14:paraId="7B7220CC" w14:textId="72AC1F5C" w:rsidR="001C3040" w:rsidRPr="00925C57" w:rsidRDefault="001C3040" w:rsidP="0079274B">
      <w:pPr>
        <w:pStyle w:val="MDPI31text"/>
        <w:rPr>
          <w:color w:val="00B050"/>
        </w:rPr>
      </w:pPr>
      <w:r w:rsidRPr="00925C57">
        <w:t>To identify the best fitting drug to the H7N9 pocket, we have evaluated each drug accommodation inside the p</w:t>
      </w:r>
      <w:r w:rsidR="001339E3" w:rsidRPr="00925C57">
        <w:t>ocket of wild type</w:t>
      </w:r>
      <w:r w:rsidRPr="00925C57">
        <w:t xml:space="preserve"> NA as well as one with single (R372K)</w:t>
      </w:r>
      <w:r w:rsidR="00FC3C2E" w:rsidRPr="00925C57">
        <w:t>,</w:t>
      </w:r>
      <w:r w:rsidRPr="00925C57">
        <w:t xml:space="preserve"> double (R294_119K) and triple (R294_119_372K) mutations.</w:t>
      </w:r>
      <w:r w:rsidR="002E1771" w:rsidRPr="00925C57">
        <w:t xml:space="preserve"> </w:t>
      </w:r>
      <w:r w:rsidR="00287744" w:rsidRPr="00925C57">
        <w:t xml:space="preserve">Figure 3 </w:t>
      </w:r>
      <w:r w:rsidR="00906A58" w:rsidRPr="00925C57">
        <w:t>illustrates</w:t>
      </w:r>
      <w:r w:rsidR="00287744" w:rsidRPr="00925C57">
        <w:t xml:space="preserve"> the fitness of the drugs Oseltamivir (A), Zanamivir (B), Peramivir (C), Laninamivir (D), L-Arginine (E) and Benserazide hydrochloride (F) to the pocket of wild type </w:t>
      </w:r>
      <w:r w:rsidR="00C945E1" w:rsidRPr="00925C57">
        <w:t xml:space="preserve">N9 </w:t>
      </w:r>
      <w:r w:rsidR="00287744" w:rsidRPr="00925C57">
        <w:t>NA. As Figur</w:t>
      </w:r>
      <w:r w:rsidR="00C945E1" w:rsidRPr="00925C57">
        <w:t xml:space="preserve">e shows, all drugs are positioned in the cavity of the pocket. However, proper filling of the pocket is observed only for the drugs Zanamivir, Peramivir and Laninamivir. Oseltamivir, L-Arginine and Benserazide hydrochloride are filling the pocket not completely. </w:t>
      </w:r>
      <w:r w:rsidR="00906A58" w:rsidRPr="00925C57">
        <w:t>Probably due to th</w:t>
      </w:r>
      <w:r w:rsidR="00063485">
        <w:t>e</w:t>
      </w:r>
      <w:r w:rsidR="00906A58" w:rsidRPr="00925C57">
        <w:t xml:space="preserve"> fact</w:t>
      </w:r>
      <w:r w:rsidR="00063485">
        <w:t xml:space="preserve"> that</w:t>
      </w:r>
      <w:r w:rsidR="00C945E1" w:rsidRPr="00925C57">
        <w:t xml:space="preserve"> they score less than the above-mentioned drugs (see Tables 1, 2 and 3</w:t>
      </w:r>
      <w:r w:rsidR="00E76DB1" w:rsidRPr="00925C57">
        <w:t>, R294 column).</w:t>
      </w:r>
    </w:p>
    <w:p w14:paraId="5723FEDE" w14:textId="528BA90C" w:rsidR="003B59A2" w:rsidRPr="00925C57" w:rsidRDefault="0007788C" w:rsidP="0079274B">
      <w:pPr>
        <w:pStyle w:val="MDPI52figure"/>
      </w:pPr>
      <w:r w:rsidRPr="00925C57">
        <w:rPr>
          <w:noProof/>
        </w:rPr>
        <w:drawing>
          <wp:inline distT="0" distB="0" distL="0" distR="0" wp14:anchorId="5F75B444" wp14:editId="2BD9C077">
            <wp:extent cx="5807123" cy="3398292"/>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MWQ_all_drugs.png"/>
                    <pic:cNvPicPr/>
                  </pic:nvPicPr>
                  <pic:blipFill rotWithShape="1">
                    <a:blip r:embed="rId12" cstate="screen">
                      <a:extLst>
                        <a:ext uri="{28A0092B-C50C-407E-A947-70E740481C1C}">
                          <a14:useLocalDpi xmlns:a14="http://schemas.microsoft.com/office/drawing/2010/main"/>
                        </a:ext>
                      </a:extLst>
                    </a:blip>
                    <a:srcRect r="-806"/>
                    <a:stretch/>
                  </pic:blipFill>
                  <pic:spPr bwMode="auto">
                    <a:xfrm>
                      <a:off x="0" y="0"/>
                      <a:ext cx="5807123" cy="339829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E10C3F" w14:textId="3C3887E3" w:rsidR="0007788C" w:rsidRPr="00925C57" w:rsidRDefault="0079274B" w:rsidP="0079274B">
      <w:pPr>
        <w:pStyle w:val="MDPI51figurecaption"/>
        <w:ind w:left="425" w:right="425"/>
        <w:jc w:val="both"/>
      </w:pPr>
      <w:r w:rsidRPr="00925C57">
        <w:rPr>
          <w:b/>
        </w:rPr>
        <w:t xml:space="preserve">Figure 3. </w:t>
      </w:r>
      <w:r w:rsidR="007E0271" w:rsidRPr="00925C57">
        <w:rPr>
          <w:color w:val="000000" w:themeColor="text1"/>
        </w:rPr>
        <w:t xml:space="preserve">Comparing drug fit to wild type NA binding pocket. </w:t>
      </w:r>
      <w:r w:rsidR="0007788C" w:rsidRPr="00925C57">
        <w:t xml:space="preserve">Accommodation of the drugs </w:t>
      </w:r>
      <w:r w:rsidR="0007788C" w:rsidRPr="00925C57">
        <w:rPr>
          <w:b/>
        </w:rPr>
        <w:t>A</w:t>
      </w:r>
      <w:r w:rsidR="0007788C" w:rsidRPr="00925C57">
        <w:t xml:space="preserve">. Oseltamivir (red) </w:t>
      </w:r>
      <w:r w:rsidR="0007788C" w:rsidRPr="00925C57">
        <w:rPr>
          <w:b/>
        </w:rPr>
        <w:t>B</w:t>
      </w:r>
      <w:r w:rsidR="0007788C" w:rsidRPr="00925C57">
        <w:t xml:space="preserve">. Zanamivir (blue), </w:t>
      </w:r>
      <w:r w:rsidR="00EA0FCD" w:rsidRPr="00925C57">
        <w:rPr>
          <w:b/>
        </w:rPr>
        <w:t>C</w:t>
      </w:r>
      <w:r w:rsidR="00EA0FCD" w:rsidRPr="00925C57">
        <w:t xml:space="preserve">. </w:t>
      </w:r>
      <w:r w:rsidR="0007788C" w:rsidRPr="00925C57">
        <w:t xml:space="preserve">Peramivir (green), </w:t>
      </w:r>
      <w:r w:rsidR="00EA0FCD" w:rsidRPr="00925C57">
        <w:rPr>
          <w:b/>
        </w:rPr>
        <w:t>D</w:t>
      </w:r>
      <w:r w:rsidR="00EA0FCD" w:rsidRPr="00925C57">
        <w:t xml:space="preserve">. </w:t>
      </w:r>
      <w:r w:rsidR="0007788C" w:rsidRPr="00925C57">
        <w:t xml:space="preserve">Laninamivir (cyan), </w:t>
      </w:r>
      <w:r w:rsidR="00EA0FCD" w:rsidRPr="00925C57">
        <w:rPr>
          <w:b/>
        </w:rPr>
        <w:t>E</w:t>
      </w:r>
      <w:r w:rsidR="00EA0FCD" w:rsidRPr="00925C57">
        <w:t xml:space="preserve">. </w:t>
      </w:r>
      <w:r w:rsidR="0007788C" w:rsidRPr="00925C57">
        <w:t xml:space="preserve">L-Arginine (yellow) and </w:t>
      </w:r>
      <w:r w:rsidR="00EA0FCD" w:rsidRPr="00925C57">
        <w:rPr>
          <w:b/>
        </w:rPr>
        <w:t>F</w:t>
      </w:r>
      <w:r w:rsidR="00EA0FCD" w:rsidRPr="00925C57">
        <w:t xml:space="preserve">. </w:t>
      </w:r>
      <w:r w:rsidR="0007788C" w:rsidRPr="00925C57">
        <w:t>Benserazide hydrochloride (orange)</w:t>
      </w:r>
      <w:r w:rsidR="00EA0FCD" w:rsidRPr="00925C57">
        <w:t xml:space="preserve"> in the pocket of native H7N9 neuraminidase, </w:t>
      </w:r>
      <w:r w:rsidR="00063485">
        <w:t xml:space="preserve">with </w:t>
      </w:r>
      <w:r w:rsidR="00063485" w:rsidRPr="00925C57">
        <w:t>reference</w:t>
      </w:r>
      <w:r w:rsidR="00063485">
        <w:t xml:space="preserve"> to the</w:t>
      </w:r>
      <w:r w:rsidR="00063485" w:rsidRPr="00925C57">
        <w:t xml:space="preserve"> pdb</w:t>
      </w:r>
      <w:r w:rsidR="00EA0FCD" w:rsidRPr="00925C57">
        <w:t xml:space="preserve"> code 4MWQ.</w:t>
      </w:r>
    </w:p>
    <w:p w14:paraId="482D25C0" w14:textId="2E749EFF" w:rsidR="005C41A4" w:rsidRPr="00925C57" w:rsidRDefault="005C41A4" w:rsidP="0079274B">
      <w:pPr>
        <w:pStyle w:val="MDPI31text"/>
      </w:pPr>
      <w:r w:rsidRPr="00925C57">
        <w:t>Figure 4</w:t>
      </w:r>
      <w:r w:rsidR="00C9069C" w:rsidRPr="00925C57">
        <w:t xml:space="preserve"> demonstrates</w:t>
      </w:r>
      <w:r w:rsidRPr="00925C57">
        <w:t xml:space="preserve"> the drugs inside the pocket of N9 with single R372K mutation.</w:t>
      </w:r>
      <w:r w:rsidR="00391C68" w:rsidRPr="00925C57">
        <w:t xml:space="preserve"> As figure show</w:t>
      </w:r>
      <w:r w:rsidR="004D6AF6" w:rsidRPr="00925C57">
        <w:t>s, the mutation influenced</w:t>
      </w:r>
      <w:r w:rsidR="00757125" w:rsidRPr="00925C57">
        <w:t xml:space="preserve"> the sha</w:t>
      </w:r>
      <w:r w:rsidR="00391C68" w:rsidRPr="00925C57">
        <w:t xml:space="preserve">pe of the pocket, however, it did not affect </w:t>
      </w:r>
      <w:r w:rsidR="00757125" w:rsidRPr="00925C57">
        <w:t>significantly</w:t>
      </w:r>
      <w:r w:rsidRPr="00925C57">
        <w:t xml:space="preserve"> </w:t>
      </w:r>
      <w:r w:rsidR="00757125" w:rsidRPr="00925C57">
        <w:t>the position of the ligand inside the pocket. Interestingly, in this case almost all drugs, except L-Arginine</w:t>
      </w:r>
      <w:r w:rsidR="00EB2AAD" w:rsidRPr="00925C57">
        <w:t>,</w:t>
      </w:r>
      <w:r w:rsidR="00757125" w:rsidRPr="00925C57">
        <w:t xml:space="preserve"> fit the pocket</w:t>
      </w:r>
      <w:r w:rsidR="00EB2AAD" w:rsidRPr="00925C57">
        <w:t xml:space="preserve"> fully.</w:t>
      </w:r>
    </w:p>
    <w:p w14:paraId="4B3D9C15" w14:textId="65A0E9A8" w:rsidR="00517B94" w:rsidRPr="00925C57" w:rsidRDefault="00517B94" w:rsidP="0079274B">
      <w:pPr>
        <w:pStyle w:val="MDPI52figure"/>
      </w:pPr>
      <w:r w:rsidRPr="00925C57">
        <w:rPr>
          <w:noProof/>
        </w:rPr>
        <w:lastRenderedPageBreak/>
        <w:drawing>
          <wp:inline distT="0" distB="0" distL="0" distR="0" wp14:anchorId="64C895E5" wp14:editId="3F549B61">
            <wp:extent cx="5752532" cy="3391469"/>
            <wp:effectExtent l="0" t="0" r="63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372K_all_drugs.pn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752532" cy="33914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050AD0" w14:textId="53D55B00" w:rsidR="00517B94" w:rsidRPr="00925C57" w:rsidRDefault="0079274B" w:rsidP="0079274B">
      <w:pPr>
        <w:pStyle w:val="MDPI51figurecaption"/>
        <w:jc w:val="both"/>
      </w:pPr>
      <w:r w:rsidRPr="00925C57">
        <w:rPr>
          <w:b/>
        </w:rPr>
        <w:t xml:space="preserve">Figure 4. </w:t>
      </w:r>
      <w:r w:rsidR="006B5346" w:rsidRPr="00925C57">
        <w:rPr>
          <w:color w:val="000000" w:themeColor="text1"/>
        </w:rPr>
        <w:t>Comparing drug fit to single mutated NA binding pocket</w:t>
      </w:r>
      <w:r w:rsidR="006B5346" w:rsidRPr="00925C57">
        <w:rPr>
          <w:b/>
          <w:color w:val="000000" w:themeColor="text1"/>
        </w:rPr>
        <w:t>.</w:t>
      </w:r>
      <w:r w:rsidR="006B5346" w:rsidRPr="00925C57">
        <w:rPr>
          <w:color w:val="000000" w:themeColor="text1"/>
        </w:rPr>
        <w:t xml:space="preserve"> </w:t>
      </w:r>
      <w:r w:rsidR="00517B94" w:rsidRPr="00925C57">
        <w:t>Accommodation of the drugs A. Oseltamivir (red) B. Zanamivir (blue), C. Peramivir (green), D. Laninamivir (cyan), E. L-Arginine (yellow) and F. Benserazide hydrochloride (orange) in the pocket of H7N9 neuraminidase with single R372K</w:t>
      </w:r>
      <w:r w:rsidR="003B0A5C" w:rsidRPr="00925C57">
        <w:t xml:space="preserve"> mu</w:t>
      </w:r>
      <w:r w:rsidR="00517B94" w:rsidRPr="00925C57">
        <w:t>tation.</w:t>
      </w:r>
    </w:p>
    <w:p w14:paraId="08565EBD" w14:textId="4A8046AC" w:rsidR="003B0A5C" w:rsidRPr="00925C57" w:rsidRDefault="005F670E" w:rsidP="0079274B">
      <w:pPr>
        <w:pStyle w:val="MDPI31text"/>
      </w:pPr>
      <w:r w:rsidRPr="00925C57">
        <w:t xml:space="preserve">Next, we considered double R294_119K mutation inside the active site of N9 and fitness of the drugs to such a pocket. </w:t>
      </w:r>
      <w:r w:rsidR="00D3767D" w:rsidRPr="00925C57">
        <w:t>In this case</w:t>
      </w:r>
      <w:r w:rsidR="009829B2" w:rsidRPr="00925C57">
        <w:t>, the</w:t>
      </w:r>
      <w:r w:rsidR="00D3767D" w:rsidRPr="00925C57">
        <w:t xml:space="preserve"> mutation of two arginines at positions 294 and 119 into lysin</w:t>
      </w:r>
      <w:r w:rsidR="00063485">
        <w:t>e</w:t>
      </w:r>
      <w:r w:rsidR="00D3767D" w:rsidRPr="00925C57">
        <w:t>s not only affected the shape of the pocket, but also</w:t>
      </w:r>
      <w:r w:rsidR="009829B2" w:rsidRPr="00925C57">
        <w:t xml:space="preserve"> the </w:t>
      </w:r>
      <w:r w:rsidR="00D3767D" w:rsidRPr="00925C57">
        <w:t>position</w:t>
      </w:r>
      <w:r w:rsidR="009829B2" w:rsidRPr="00925C57">
        <w:t>s</w:t>
      </w:r>
      <w:r w:rsidR="00D3767D" w:rsidRPr="00925C57">
        <w:t xml:space="preserve"> of the drugs inside the pocket (see Figure 5 A-F). In particular, all drugs, except Peramivir</w:t>
      </w:r>
      <w:r w:rsidR="00917CB6" w:rsidRPr="00925C57">
        <w:t xml:space="preserve"> and Benserazide hydrochloride</w:t>
      </w:r>
      <w:r w:rsidR="00D654CE" w:rsidRPr="00925C57">
        <w:t xml:space="preserve"> (see Figure 5 C</w:t>
      </w:r>
      <w:r w:rsidR="00917CB6" w:rsidRPr="00925C57">
        <w:t xml:space="preserve"> and F</w:t>
      </w:r>
      <w:r w:rsidR="00D654CE" w:rsidRPr="00925C57">
        <w:t>)</w:t>
      </w:r>
      <w:r w:rsidR="00D3767D" w:rsidRPr="00925C57">
        <w:t xml:space="preserve">, are shifted with respect to the visual center of the pocket. </w:t>
      </w:r>
      <w:r w:rsidR="00917CB6" w:rsidRPr="00925C57">
        <w:t>Despite that fact,</w:t>
      </w:r>
      <w:r w:rsidR="00D3767D" w:rsidRPr="00925C57">
        <w:t xml:space="preserve"> Peramivir is the only drug that fits the pocket best in this case</w:t>
      </w:r>
      <w:r w:rsidR="008C3953" w:rsidRPr="00925C57">
        <w:t>.</w:t>
      </w:r>
    </w:p>
    <w:p w14:paraId="15BDEF61" w14:textId="77777777" w:rsidR="0079274B" w:rsidRPr="00925C57" w:rsidRDefault="00C06F5C" w:rsidP="0079274B">
      <w:pPr>
        <w:pStyle w:val="MDPI52figure"/>
      </w:pPr>
      <w:r w:rsidRPr="00925C57">
        <w:rPr>
          <w:noProof/>
        </w:rPr>
        <w:lastRenderedPageBreak/>
        <w:drawing>
          <wp:inline distT="0" distB="0" distL="0" distR="0" wp14:anchorId="33C848A4" wp14:editId="5B5AA40E">
            <wp:extent cx="5760720" cy="370332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_drugs.png"/>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3703320"/>
                    </a:xfrm>
                    <a:prstGeom prst="rect">
                      <a:avLst/>
                    </a:prstGeom>
                  </pic:spPr>
                </pic:pic>
              </a:graphicData>
            </a:graphic>
          </wp:inline>
        </w:drawing>
      </w:r>
    </w:p>
    <w:p w14:paraId="0296F58D" w14:textId="1DEA15BD" w:rsidR="003B0A5C" w:rsidRPr="00925C57" w:rsidRDefault="0079274B" w:rsidP="0079274B">
      <w:pPr>
        <w:pStyle w:val="MDPI51figurecaption"/>
        <w:ind w:left="425" w:right="425"/>
        <w:jc w:val="both"/>
      </w:pPr>
      <w:r w:rsidRPr="00925C57">
        <w:rPr>
          <w:b/>
        </w:rPr>
        <w:t>Figure 5</w:t>
      </w:r>
      <w:r w:rsidRPr="00925C57">
        <w:t xml:space="preserve">. </w:t>
      </w:r>
      <w:r w:rsidR="006B5346" w:rsidRPr="00925C57">
        <w:rPr>
          <w:color w:val="000000" w:themeColor="text1"/>
        </w:rPr>
        <w:t xml:space="preserve">Comparing drug fit to double mutated NA binding pocket. </w:t>
      </w:r>
      <w:r w:rsidR="003B0A5C" w:rsidRPr="00925C57">
        <w:t xml:space="preserve">Accommodation of the drugs </w:t>
      </w:r>
      <w:r w:rsidR="003B0A5C" w:rsidRPr="00925C57">
        <w:rPr>
          <w:b/>
        </w:rPr>
        <w:t>A</w:t>
      </w:r>
      <w:r w:rsidR="003B0A5C" w:rsidRPr="00925C57">
        <w:t xml:space="preserve">. Oseltamivir (red) </w:t>
      </w:r>
      <w:r w:rsidR="003B0A5C" w:rsidRPr="00925C57">
        <w:rPr>
          <w:b/>
        </w:rPr>
        <w:t>B</w:t>
      </w:r>
      <w:r w:rsidR="003B0A5C" w:rsidRPr="00925C57">
        <w:t xml:space="preserve">. Zanamivir (blue), </w:t>
      </w:r>
      <w:r w:rsidR="003B0A5C" w:rsidRPr="00925C57">
        <w:rPr>
          <w:b/>
        </w:rPr>
        <w:t>C</w:t>
      </w:r>
      <w:r w:rsidR="003B0A5C" w:rsidRPr="00925C57">
        <w:t xml:space="preserve">. Peramivir (green), </w:t>
      </w:r>
      <w:r w:rsidR="003B0A5C" w:rsidRPr="00925C57">
        <w:rPr>
          <w:b/>
        </w:rPr>
        <w:t>D</w:t>
      </w:r>
      <w:r w:rsidR="003B0A5C" w:rsidRPr="00925C57">
        <w:t xml:space="preserve">. Laninamivir (cyan), </w:t>
      </w:r>
      <w:r w:rsidR="003B0A5C" w:rsidRPr="00925C57">
        <w:rPr>
          <w:b/>
        </w:rPr>
        <w:t>E</w:t>
      </w:r>
      <w:r w:rsidR="003B0A5C" w:rsidRPr="00925C57">
        <w:t xml:space="preserve">. L-Arginine (yellow) and </w:t>
      </w:r>
      <w:r w:rsidR="003B0A5C" w:rsidRPr="00925C57">
        <w:rPr>
          <w:b/>
        </w:rPr>
        <w:t>F</w:t>
      </w:r>
      <w:r w:rsidR="003B0A5C" w:rsidRPr="00925C57">
        <w:t>. Benserazide hydrochloride (orange) in the pocket of H7N9 neuraminidase with double R294_119K mutation.</w:t>
      </w:r>
    </w:p>
    <w:p w14:paraId="44B422F5" w14:textId="0EEB6464" w:rsidR="006579B1" w:rsidRPr="00925C57" w:rsidRDefault="00BE5327" w:rsidP="0079274B">
      <w:pPr>
        <w:pStyle w:val="MDPI31text"/>
      </w:pPr>
      <w:r w:rsidRPr="00925C57">
        <w:t>Finally</w:t>
      </w:r>
      <w:r w:rsidR="006579B1" w:rsidRPr="00925C57">
        <w:t xml:space="preserve">, we considered </w:t>
      </w:r>
      <w:r w:rsidR="006B5346" w:rsidRPr="00925C57">
        <w:t xml:space="preserve">the </w:t>
      </w:r>
      <w:r w:rsidR="006579B1" w:rsidRPr="00925C57">
        <w:t>influence of triple R294_119_372K mutation on the binding poses and fitness of the drugs to the pocket of N9.</w:t>
      </w:r>
      <w:r w:rsidR="008C3953" w:rsidRPr="00925C57">
        <w:t xml:space="preserve"> </w:t>
      </w:r>
      <w:r w:rsidR="0077058F" w:rsidRPr="00925C57">
        <w:t>As Figure 6 shows, the tripl</w:t>
      </w:r>
      <w:r w:rsidR="00C46EBD" w:rsidRPr="00925C57">
        <w:t>e mutation dramatically affects</w:t>
      </w:r>
      <w:r w:rsidR="0077058F" w:rsidRPr="00925C57">
        <w:t xml:space="preserve"> the position of Oseltamivir inside the pocket (see Figure 6 A). Le</w:t>
      </w:r>
      <w:r w:rsidR="008C18F0" w:rsidRPr="00925C57">
        <w:t>ss sensitive to such mutation are</w:t>
      </w:r>
      <w:r w:rsidR="0077058F" w:rsidRPr="00925C57">
        <w:t xml:space="preserve"> the drug</w:t>
      </w:r>
      <w:r w:rsidR="008C18F0" w:rsidRPr="00925C57">
        <w:t>s</w:t>
      </w:r>
      <w:r w:rsidR="0077058F" w:rsidRPr="00925C57">
        <w:t xml:space="preserve"> Laninamivir</w:t>
      </w:r>
      <w:r w:rsidR="008C18F0" w:rsidRPr="00925C57">
        <w:t xml:space="preserve"> and L-Arginine</w:t>
      </w:r>
      <w:r w:rsidR="0077058F" w:rsidRPr="00925C57">
        <w:t>; the position of the drug is shifted with respect to vi</w:t>
      </w:r>
      <w:r w:rsidR="00A2451A" w:rsidRPr="00925C57">
        <w:t>sual center, however,</w:t>
      </w:r>
      <w:r w:rsidR="0077058F" w:rsidRPr="00925C57">
        <w:t xml:space="preserve"> not that signific</w:t>
      </w:r>
      <w:r w:rsidR="00C46EBD" w:rsidRPr="00925C57">
        <w:t>antly as in the case of</w:t>
      </w:r>
      <w:r w:rsidR="0077058F" w:rsidRPr="00925C57">
        <w:t xml:space="preserve"> Oseltamivir. The drugs </w:t>
      </w:r>
      <w:r w:rsidR="008C18F0" w:rsidRPr="00925C57">
        <w:t>Zanamivir, Peramivir</w:t>
      </w:r>
      <w:r w:rsidR="0077058F" w:rsidRPr="00925C57">
        <w:t xml:space="preserve"> and Benserazide hydrochloride are </w:t>
      </w:r>
      <w:r w:rsidR="008C18F0" w:rsidRPr="00925C57">
        <w:t>af</w:t>
      </w:r>
      <w:r w:rsidR="0077058F" w:rsidRPr="00925C57">
        <w:t>fected</w:t>
      </w:r>
      <w:r w:rsidR="008C18F0" w:rsidRPr="00925C57">
        <w:t xml:space="preserve"> the least</w:t>
      </w:r>
      <w:r w:rsidR="0077058F" w:rsidRPr="00925C57">
        <w:t xml:space="preserve">; they remain in the cavity of </w:t>
      </w:r>
      <w:r w:rsidR="00A2451A" w:rsidRPr="00925C57">
        <w:t xml:space="preserve">the </w:t>
      </w:r>
      <w:r w:rsidR="0077058F" w:rsidRPr="00925C57">
        <w:t>enzyme.</w:t>
      </w:r>
      <w:r w:rsidR="008514DC" w:rsidRPr="00925C57">
        <w:t xml:space="preserve"> </w:t>
      </w:r>
      <w:r w:rsidR="0077058F" w:rsidRPr="00925C57">
        <w:t>Although Benserazide hydrochloride scores the highest in this case</w:t>
      </w:r>
      <w:r w:rsidR="00A73265" w:rsidRPr="00925C57">
        <w:t xml:space="preserve"> (see Tables 1, 2 and 3)</w:t>
      </w:r>
      <w:r w:rsidR="008C18F0" w:rsidRPr="00925C57">
        <w:t xml:space="preserve"> and Zanamivir shows the smallest RMSD value amongst all drugs (see Table 6)</w:t>
      </w:r>
      <w:r w:rsidR="0077058F" w:rsidRPr="00925C57">
        <w:t xml:space="preserve">, it is worth to note, that Peramivir is the only drug that </w:t>
      </w:r>
      <w:r w:rsidR="00917CB6" w:rsidRPr="00925C57">
        <w:t>make</w:t>
      </w:r>
      <w:r w:rsidR="0077058F" w:rsidRPr="00925C57">
        <w:t>s</w:t>
      </w:r>
      <w:r w:rsidR="00917CB6" w:rsidRPr="00925C57">
        <w:t xml:space="preserve"> interaction with three key residues at position 119, 294 and 372 even after their mutation into lysin</w:t>
      </w:r>
      <w:r w:rsidR="00D005C6">
        <w:t>e</w:t>
      </w:r>
      <w:r w:rsidR="00917CB6" w:rsidRPr="00925C57">
        <w:t>s (please, refer to Table 4</w:t>
      </w:r>
      <w:r w:rsidR="0077058F" w:rsidRPr="00925C57">
        <w:t>, the last column</w:t>
      </w:r>
      <w:r w:rsidR="00917CB6" w:rsidRPr="00925C57">
        <w:t>).</w:t>
      </w:r>
    </w:p>
    <w:p w14:paraId="0B31FCCB" w14:textId="77777777" w:rsidR="003B0A5C" w:rsidRPr="00925C57" w:rsidRDefault="003B0A5C" w:rsidP="00FE407B">
      <w:pPr>
        <w:adjustRightInd w:val="0"/>
        <w:snapToGrid w:val="0"/>
        <w:spacing w:line="240" w:lineRule="auto"/>
        <w:jc w:val="both"/>
        <w:rPr>
          <w:rFonts w:ascii="Times New Roman" w:hAnsi="Times New Roman" w:cs="Times New Roman"/>
          <w:sz w:val="24"/>
          <w:szCs w:val="24"/>
          <w:lang w:val="en-US" w:eastAsia="de-DE"/>
        </w:rPr>
      </w:pPr>
    </w:p>
    <w:p w14:paraId="60E6C56F" w14:textId="09A77D56" w:rsidR="003B0A5C" w:rsidRPr="00925C57" w:rsidRDefault="00C06F5C" w:rsidP="0079274B">
      <w:pPr>
        <w:pStyle w:val="MDPI52figure"/>
      </w:pPr>
      <w:r w:rsidRPr="00925C57">
        <w:rPr>
          <w:noProof/>
        </w:rPr>
        <w:lastRenderedPageBreak/>
        <w:drawing>
          <wp:inline distT="0" distB="0" distL="0" distR="0" wp14:anchorId="79800988" wp14:editId="39F0863D">
            <wp:extent cx="5760720" cy="327787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l_drugs.png"/>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3277870"/>
                    </a:xfrm>
                    <a:prstGeom prst="rect">
                      <a:avLst/>
                    </a:prstGeom>
                  </pic:spPr>
                </pic:pic>
              </a:graphicData>
            </a:graphic>
          </wp:inline>
        </w:drawing>
      </w:r>
    </w:p>
    <w:p w14:paraId="7A04BBE5" w14:textId="42F74D97" w:rsidR="00BB50A4" w:rsidRPr="00925C57" w:rsidRDefault="0079274B" w:rsidP="0079274B">
      <w:pPr>
        <w:pStyle w:val="MDPI51figurecaption"/>
        <w:ind w:left="425" w:right="425"/>
        <w:jc w:val="both"/>
      </w:pPr>
      <w:r w:rsidRPr="00925C57">
        <w:rPr>
          <w:b/>
        </w:rPr>
        <w:t xml:space="preserve">Figure 6. </w:t>
      </w:r>
      <w:r w:rsidR="006B5346" w:rsidRPr="00925C57">
        <w:rPr>
          <w:color w:val="000000" w:themeColor="text1"/>
        </w:rPr>
        <w:t xml:space="preserve">Comparing drug fit to triple mutated NA binding pocket. </w:t>
      </w:r>
      <w:r w:rsidR="00BB50A4" w:rsidRPr="00925C57">
        <w:t>Accommodation of the drugs A. Oseltamivir (red) B. Zanamivir (blue), C. Peramivir (green), D. Laninamivir (cyan), E. L-Arginine (yellow) and F. Benserazide hydrochloride (orange) in the pocket of H7N9 neuraminidase with triple R294_119_372K mutation.</w:t>
      </w:r>
    </w:p>
    <w:p w14:paraId="7E8A3946" w14:textId="5D82D1BE" w:rsidR="000A42E8" w:rsidRPr="00925C57" w:rsidRDefault="00235BD9" w:rsidP="0079274B">
      <w:pPr>
        <w:pStyle w:val="MDPI22heading2"/>
        <w:spacing w:before="240"/>
      </w:pPr>
      <w:r w:rsidRPr="00925C57">
        <w:t xml:space="preserve">2.6. </w:t>
      </w:r>
      <w:r w:rsidR="00EF669F" w:rsidRPr="00925C57">
        <w:t>Predicted Pharmacokinetic Prope</w:t>
      </w:r>
      <w:r w:rsidR="00C5660D" w:rsidRPr="00925C57">
        <w:t>rties</w:t>
      </w:r>
      <w:r w:rsidR="008866AC" w:rsidRPr="00925C57">
        <w:t xml:space="preserve"> for the </w:t>
      </w:r>
      <w:r w:rsidR="00EF669F" w:rsidRPr="00925C57">
        <w:t>D</w:t>
      </w:r>
      <w:r w:rsidR="008866AC" w:rsidRPr="00925C57">
        <w:t>rugs</w:t>
      </w:r>
      <w:r w:rsidR="00C5660D" w:rsidRPr="00925C57">
        <w:t>.</w:t>
      </w:r>
    </w:p>
    <w:p w14:paraId="16B57A6C" w14:textId="5747BB71" w:rsidR="004942E1" w:rsidRPr="00925C57" w:rsidRDefault="00A2451A" w:rsidP="0079274B">
      <w:pPr>
        <w:pStyle w:val="MDPI31text"/>
      </w:pPr>
      <w:r w:rsidRPr="00925C57">
        <w:t>Table 7</w:t>
      </w:r>
      <w:r w:rsidR="00621857" w:rsidRPr="00925C57">
        <w:t xml:space="preserve"> reports the predicted </w:t>
      </w:r>
      <w:r w:rsidR="00770B8A" w:rsidRPr="00925C57">
        <w:t>absorption, distribution, metabolism, excretion and toxicity (</w:t>
      </w:r>
      <w:r w:rsidR="00621857" w:rsidRPr="00925C57">
        <w:t>ADMET</w:t>
      </w:r>
      <w:r w:rsidR="00770B8A" w:rsidRPr="00925C57">
        <w:t>)</w:t>
      </w:r>
      <w:r w:rsidR="00621857" w:rsidRPr="00925C57">
        <w:t xml:space="preserve"> properties for Oseltamivir, Zanamivir, Peramivir, Laninamivir, L-Arginine and Benserazide hydrochloride</w:t>
      </w:r>
      <w:r w:rsidR="004942E1" w:rsidRPr="00925C57">
        <w:t xml:space="preserve"> according to the estimation </w:t>
      </w:r>
      <w:r w:rsidR="002719D9" w:rsidRPr="00925C57">
        <w:t>by</w:t>
      </w:r>
      <w:r w:rsidR="004942E1" w:rsidRPr="00925C57">
        <w:t xml:space="preserve"> Douglas E.V. Pires et al.</w:t>
      </w:r>
      <w:r w:rsidR="00BE48C4" w:rsidRPr="00925C57">
        <w:t xml:space="preserve"> </w:t>
      </w:r>
      <w:r w:rsidR="00DF35FE" w:rsidRPr="00925C57">
        <w:fldChar w:fldCharType="begin" w:fldLock="1"/>
      </w:r>
      <w:r w:rsidR="00347A50" w:rsidRPr="00925C57">
        <w:instrText>ADDIN CSL_CITATION {"citationItems":[{"id":"ITEM-1","itemData":{"DOI":"10.1021/acs.jmedchem.5b00104","ISSN":"15204804","PMID":"25860834","abstract":"Drug development has a high attrition rate, with poor pharmacokinetic and safety properties a significant hurdle. Computational approaches may help minimize these risks. We have developed a novel approach (pkCSM) which uses graph-based signatures to develop predictive models of central ADMET properties for drug development. pkCSM performs as well or better than current methods. A freely accessible web server (http://structure.bioc.cam.ac.uk/pkcsm), which retains no information submitted to it, provides an integrated platform to rapidly evaluate pharmacokinetic and toxicity properties.","author":[{"dropping-particle":"","family":"Pires","given":"Douglas E.V.","non-dropping-particle":"","parse-names":false,"suffix":""},{"dropping-particle":"","family":"Blundell","given":"Tom L.","non-dropping-particle":"","parse-names":false,"suffix":""},{"dropping-particle":"","family":"Ascher","given":"David B.","non-dropping-particle":"","parse-names":false,"suffix":""}],"container-title":"Journal of Medicinal Chemistry","id":"ITEM-1","issue":"9","issued":{"date-parts":[["2015"]]},"page":"4066-4072","title":"pkCSM: Predicting small-molecule pharmacokinetic and toxicity properties using graph-based signatures","type":"article-journal","volume":"58"},"uris":["http://www.mendeley.com/documents/?uuid=5d15c98c-3fe0-432d-843d-564838628e5e","http://www.mendeley.com/documents/?uuid=9a7a9660-a332-4fbe-a54f-8ab7ea8942d0"]}],"mendeley":{"formattedCitation":"[15]","plainTextFormattedCitation":"[15]","previouslyFormattedCitation":"[15]"},"properties":{"noteIndex":0},"schema":"https://github.com/citation-style-language/schema/raw/master/csl-citation.json"}</w:instrText>
      </w:r>
      <w:r w:rsidR="00DF35FE" w:rsidRPr="00925C57">
        <w:fldChar w:fldCharType="separate"/>
      </w:r>
      <w:r w:rsidR="00347A50" w:rsidRPr="00925C57">
        <w:t>[15]</w:t>
      </w:r>
      <w:r w:rsidR="00DF35FE" w:rsidRPr="00925C57">
        <w:fldChar w:fldCharType="end"/>
      </w:r>
      <w:r w:rsidR="00BE48C4" w:rsidRPr="00925C57">
        <w:t>.</w:t>
      </w:r>
    </w:p>
    <w:p w14:paraId="2B71DCD2" w14:textId="3D1A2E9D" w:rsidR="00B4273E" w:rsidRPr="00925C57" w:rsidRDefault="004942E1" w:rsidP="0079274B">
      <w:pPr>
        <w:pStyle w:val="MDPI31text"/>
        <w:rPr>
          <w:b/>
        </w:rPr>
      </w:pPr>
      <w:r w:rsidRPr="00925C57">
        <w:rPr>
          <w:b/>
        </w:rPr>
        <w:t>Absorption:</w:t>
      </w:r>
      <w:r w:rsidR="00621857" w:rsidRPr="00925C57">
        <w:t xml:space="preserve"> As Table </w:t>
      </w:r>
      <w:r w:rsidR="00A2451A" w:rsidRPr="00925C57">
        <w:t>7</w:t>
      </w:r>
      <w:r w:rsidRPr="00925C57">
        <w:t xml:space="preserve"> </w:t>
      </w:r>
      <w:r w:rsidR="00110D9E" w:rsidRPr="00925C57">
        <w:t xml:space="preserve">shows the best water solubility has Benserazide hydrochloride with the log mol/L value of -2.2, weaker solubility shows the drug Oseltamivir (log mol/L -2.4) and the worst – drugs Zanamivir, Peramivir, Laninamivir and L-arginine with log mol/L values of -2.9. The high intestinal absorption shows the drug Oseltamivir (74,5 %), lower – the drugs L-arginine (34,5%) and Benserazide hydrochloride (36,2 %) and the lowest </w:t>
      </w:r>
      <w:r w:rsidR="00B4273E" w:rsidRPr="00925C57">
        <w:t>– the drugs Zanami</w:t>
      </w:r>
      <w:r w:rsidR="00466CB0" w:rsidRPr="00925C57">
        <w:t>vir (21,2%), Peramivir (26,8 %) and</w:t>
      </w:r>
      <w:r w:rsidR="00B4273E" w:rsidRPr="00925C57">
        <w:t xml:space="preserve"> Laninamivir (27,4 %). All drugs have relatively low skin permeability (please refer </w:t>
      </w:r>
      <w:r w:rsidR="00FC3C2E" w:rsidRPr="00925C57">
        <w:t xml:space="preserve">to the explanation provided by </w:t>
      </w:r>
      <w:r w:rsidR="00B4273E" w:rsidRPr="00925C57">
        <w:t>Douglas E. V. Pires et al.</w:t>
      </w:r>
      <w:r w:rsidR="00BE48C4" w:rsidRPr="00925C57">
        <w:t xml:space="preserve"> </w:t>
      </w:r>
      <w:r w:rsidR="00BC21FE" w:rsidRPr="00925C57">
        <w:fldChar w:fldCharType="begin" w:fldLock="1"/>
      </w:r>
      <w:r w:rsidR="00347A50" w:rsidRPr="00925C57">
        <w:instrText>ADDIN CSL_CITATION {"citationItems":[{"id":"ITEM-1","itemData":{"DOI":"10.1021/acs.jmedchem.5b00104","ISSN":"15204804","PMID":"25860834","abstract":"Drug development has a high attrition rate, with poor pharmacokinetic and safety properties a significant hurdle. Computational approaches may help minimize these risks. We have developed a novel approach (pkCSM) which uses graph-based signatures to develop predictive models of central ADMET properties for drug development. pkCSM performs as well or better than current methods. A freely accessible web server (http://structure.bioc.cam.ac.uk/pkcsm), which retains no information submitted to it, provides an integrated platform to rapidly evaluate pharmacokinetic and toxicity properties.","author":[{"dropping-particle":"","family":"Pires","given":"Douglas E.V.","non-dropping-particle":"","parse-names":false,"suffix":""},{"dropping-particle":"","family":"Blundell","given":"Tom L.","non-dropping-particle":"","parse-names":false,"suffix":""},{"dropping-particle":"","family":"Ascher","given":"David B.","non-dropping-particle":"","parse-names":false,"suffix":""}],"container-title":"Journal of Medicinal Chemistry","id":"ITEM-1","issue":"9","issued":{"date-parts":[["2015"]]},"page":"4066-4072","title":"pkCSM: Predicting small-molecule pharmacokinetic and toxicity properties using graph-based signatures","type":"article-journal","volume":"58"},"uris":["http://www.mendeley.com/documents/?uuid=9a7a9660-a332-4fbe-a54f-8ab7ea8942d0","http://www.mendeley.com/documents/?uuid=5d15c98c-3fe0-432d-843d-564838628e5e"]}],"mendeley":{"formattedCitation":"[15]","plainTextFormattedCitation":"[15]","previouslyFormattedCitation":"[15]"},"properties":{"noteIndex":0},"schema":"https://github.com/citation-style-language/schema/raw/master/csl-citation.json"}</w:instrText>
      </w:r>
      <w:r w:rsidR="00BC21FE" w:rsidRPr="00925C57">
        <w:fldChar w:fldCharType="separate"/>
      </w:r>
      <w:r w:rsidR="00347A50" w:rsidRPr="00925C57">
        <w:t>[15]</w:t>
      </w:r>
      <w:r w:rsidR="00BC21FE" w:rsidRPr="00925C57">
        <w:fldChar w:fldCharType="end"/>
      </w:r>
      <w:r w:rsidR="00FC3C2E" w:rsidRPr="00925C57">
        <w:t>).</w:t>
      </w:r>
    </w:p>
    <w:p w14:paraId="3E59E02D" w14:textId="16DEA823" w:rsidR="00FA7774" w:rsidRPr="00925C57" w:rsidRDefault="00B4273E" w:rsidP="0079274B">
      <w:pPr>
        <w:pStyle w:val="MDPI31text"/>
      </w:pPr>
      <w:r w:rsidRPr="00925C57">
        <w:rPr>
          <w:b/>
        </w:rPr>
        <w:t xml:space="preserve">Distribution: </w:t>
      </w:r>
      <w:r w:rsidRPr="00925C57">
        <w:t>The distribution is characterized with the volume of distribution (VDss), fraction unbound (Fu)</w:t>
      </w:r>
      <w:r w:rsidR="00FA7774" w:rsidRPr="00925C57">
        <w:t xml:space="preserve"> to the plasma proteins</w:t>
      </w:r>
      <w:r w:rsidRPr="00925C57">
        <w:t xml:space="preserve">, blood-brain-barrier (BBB) and central </w:t>
      </w:r>
      <w:r w:rsidR="00FA7774" w:rsidRPr="00925C57">
        <w:t>nervous</w:t>
      </w:r>
      <w:r w:rsidRPr="00925C57">
        <w:t xml:space="preserve"> system (CNS) permeability. </w:t>
      </w:r>
      <w:r w:rsidR="00FA7774" w:rsidRPr="00925C57">
        <w:t>According to Douglas E.V. Pires et al.</w:t>
      </w:r>
      <w:r w:rsidR="00BE48C4" w:rsidRPr="00925C57">
        <w:t xml:space="preserve"> </w:t>
      </w:r>
      <w:r w:rsidR="00BC21FE" w:rsidRPr="00925C57">
        <w:fldChar w:fldCharType="begin" w:fldLock="1"/>
      </w:r>
      <w:r w:rsidR="00347A50" w:rsidRPr="00925C57">
        <w:instrText>ADDIN CSL_CITATION {"citationItems":[{"id":"ITEM-1","itemData":{"DOI":"10.1021/acs.jmedchem.5b00104","ISSN":"15204804","PMID":"25860834","abstract":"Drug development has a high attrition rate, with poor pharmacokinetic and safety properties a significant hurdle. Computational approaches may help minimize these risks. We have developed a novel approach (pkCSM) which uses graph-based signatures to develop predictive models of central ADMET properties for drug development. pkCSM performs as well or better than current methods. A freely accessible web server (http://structure.bioc.cam.ac.uk/pkcsm), which retains no information submitted to it, provides an integrated platform to rapidly evaluate pharmacokinetic and toxicity properties.","author":[{"dropping-particle":"","family":"Pires","given":"Douglas E.V.","non-dropping-particle":"","parse-names":false,"suffix":""},{"dropping-particle":"","family":"Blundell","given":"Tom L.","non-dropping-particle":"","parse-names":false,"suffix":""},{"dropping-particle":"","family":"Ascher","given":"David B.","non-dropping-particle":"","parse-names":false,"suffix":""}],"container-title":"Journal of Medicinal Chemistry","id":"ITEM-1","issue":"9","issued":{"date-parts":[["2015"]]},"page":"4066-4072","title":"pkCSM: Predicting small-molecule pharmacokinetic and toxicity properties using graph-based signatures","type":"article-journal","volume":"58"},"uris":["http://www.mendeley.com/documents/?uuid=9a7a9660-a332-4fbe-a54f-8ab7ea8942d0","http://www.mendeley.com/documents/?uuid=5d15c98c-3fe0-432d-843d-564838628e5e"]}],"mendeley":{"formattedCitation":"[15]","plainTextFormattedCitation":"[15]","previouslyFormattedCitation":"[15]"},"properties":{"noteIndex":0},"schema":"https://github.com/citation-style-language/schema/raw/master/csl-citation.json"}</w:instrText>
      </w:r>
      <w:r w:rsidR="00BC21FE" w:rsidRPr="00925C57">
        <w:fldChar w:fldCharType="separate"/>
      </w:r>
      <w:r w:rsidR="00347A50" w:rsidRPr="00925C57">
        <w:t>[15]</w:t>
      </w:r>
      <w:r w:rsidR="00BC21FE" w:rsidRPr="00925C57">
        <w:fldChar w:fldCharType="end"/>
      </w:r>
      <w:r w:rsidR="00FA7774" w:rsidRPr="00925C57">
        <w:rPr>
          <w:b/>
        </w:rPr>
        <w:t xml:space="preserve"> </w:t>
      </w:r>
      <w:r w:rsidR="00FA7774" w:rsidRPr="00925C57">
        <w:t xml:space="preserve">the </w:t>
      </w:r>
      <w:r w:rsidR="003E75CE" w:rsidRPr="00925C57">
        <w:t>higher is the value of VDss</w:t>
      </w:r>
      <w:r w:rsidR="00FA7774" w:rsidRPr="00925C57">
        <w:t xml:space="preserve">, more drug is distributed in the tissue rather than in plasma. The VDss is considered low if log VDss is &lt; -0,15 and high if log VDss is &gt; 0.45. In our case all drugs show quite low value of VDss indicating their preference towards blood plasma over tissue. From all studied compounds </w:t>
      </w:r>
      <w:r w:rsidR="003E75CE" w:rsidRPr="00925C57">
        <w:t>the highest</w:t>
      </w:r>
      <w:r w:rsidR="0098584F" w:rsidRPr="00925C57">
        <w:t xml:space="preserve"> value of unbound fraction to the plasma proteins</w:t>
      </w:r>
      <w:r w:rsidR="003E75CE" w:rsidRPr="00925C57">
        <w:t xml:space="preserve"> comes to Benserazide hydrochloride, lower – to Oseltamivir and the lowest </w:t>
      </w:r>
      <w:r w:rsidR="0098584F" w:rsidRPr="00925C57">
        <w:t xml:space="preserve">- </w:t>
      </w:r>
      <w:r w:rsidR="003E75CE" w:rsidRPr="00925C57">
        <w:t xml:space="preserve">to drugs Zanamivir, Peramivir, Laninamivir and L-arginine – </w:t>
      </w:r>
      <w:r w:rsidR="000B5D4D">
        <w:t xml:space="preserve">as </w:t>
      </w:r>
      <w:r w:rsidR="003E75CE" w:rsidRPr="00925C57">
        <w:t>they show similar values.</w:t>
      </w:r>
    </w:p>
    <w:p w14:paraId="57A46AFE" w14:textId="455C46F9" w:rsidR="0098584F" w:rsidRPr="00925C57" w:rsidRDefault="0098584F" w:rsidP="0079274B">
      <w:pPr>
        <w:pStyle w:val="MDPI31text"/>
      </w:pPr>
      <w:r w:rsidRPr="00925C57">
        <w:t xml:space="preserve">All drugs show poor distribution to the brain with the log BB value close to the lowest threshold of -1. Same is related to the CNS permeability. All the compounds demonstrate the value of log PS &lt; -3 (the lowest threshold), which indicates on their poor capability to penetrate the CNS. </w:t>
      </w:r>
      <w:r w:rsidR="0014775C" w:rsidRPr="00925C57">
        <w:t xml:space="preserve">However, as influenza is primarily a disease of the respiratory tissue, this is not preventing drug action in those most affected respiratory tissues such as lung. </w:t>
      </w:r>
    </w:p>
    <w:p w14:paraId="0492D13E" w14:textId="7910384F" w:rsidR="002B311D" w:rsidRPr="00925C57" w:rsidRDefault="002B311D" w:rsidP="0079274B">
      <w:pPr>
        <w:pStyle w:val="MDPI31text"/>
        <w:rPr>
          <w:b/>
        </w:rPr>
      </w:pPr>
      <w:r w:rsidRPr="00925C57">
        <w:rPr>
          <w:b/>
        </w:rPr>
        <w:lastRenderedPageBreak/>
        <w:t xml:space="preserve">Metabolism: </w:t>
      </w:r>
      <w:r w:rsidR="005215F0" w:rsidRPr="00925C57">
        <w:t>The compound’s ability to inhibit cytochrome P450 can play a significant role in drug metabolism. In the current estimation</w:t>
      </w:r>
      <w:r w:rsidR="00F41A88" w:rsidRPr="00925C57">
        <w:t>,</w:t>
      </w:r>
      <w:r w:rsidR="005215F0" w:rsidRPr="00925C57">
        <w:t xml:space="preserve"> models of different isoforms of </w:t>
      </w:r>
      <w:r w:rsidR="00F41A88" w:rsidRPr="00925C57">
        <w:t xml:space="preserve">cytochrome </w:t>
      </w:r>
      <w:r w:rsidR="005215F0" w:rsidRPr="00925C57">
        <w:t>P450</w:t>
      </w:r>
      <w:r w:rsidR="00F41A88" w:rsidRPr="00925C57">
        <w:t>, namely CYP1A2/CYP2C19/CYP2C9/CYP2D6/CYP3A4, were built based on the information collected from the 14000 to 18000 compounds capable to inhibit cytochrome P450</w:t>
      </w:r>
      <w:r w:rsidR="00BC21FE" w:rsidRPr="00925C57">
        <w:t>.</w:t>
      </w:r>
      <w:r w:rsidR="00BC21FE" w:rsidRPr="00925C57">
        <w:fldChar w:fldCharType="begin" w:fldLock="1"/>
      </w:r>
      <w:r w:rsidR="00347A50" w:rsidRPr="00925C57">
        <w:instrText>ADDIN CSL_CITATION {"citationItems":[{"id":"ITEM-1","itemData":{"DOI":"10.1021/acs.jmedchem.5b00104","ISSN":"15204804","PMID":"25860834","abstract":"Drug development has a high attrition rate, with poor pharmacokinetic and safety properties a significant hurdle. Computational approaches may help minimize these risks. We have developed a novel approach (pkCSM) which uses graph-based signatures to develop predictive models of central ADMET properties for drug development. pkCSM performs as well or better than current methods. A freely accessible web server (http://structure.bioc.cam.ac.uk/pkcsm), which retains no information submitted to it, provides an integrated platform to rapidly evaluate pharmacokinetic and toxicity properties.","author":[{"dropping-particle":"","family":"Pires","given":"Douglas E.V.","non-dropping-particle":"","parse-names":false,"suffix":""},{"dropping-particle":"","family":"Blundell","given":"Tom L.","non-dropping-particle":"","parse-names":false,"suffix":""},{"dropping-particle":"","family":"Ascher","given":"David B.","non-dropping-particle":"","parse-names":false,"suffix":""}],"container-title":"Journal of Medicinal Chemistry","id":"ITEM-1","issue":"9","issued":{"date-parts":[["2015"]]},"page":"4066-4072","title":"pkCSM: Predicting small-molecule pharmacokinetic and toxicity properties using graph-based signatures","type":"article-journal","volume":"58"},"uris":["http://www.mendeley.com/documents/?uuid=9a7a9660-a332-4fbe-a54f-8ab7ea8942d0","http://www.mendeley.com/documents/?uuid=5d15c98c-3fe0-432d-843d-564838628e5e"]}],"mendeley":{"formattedCitation":"[15]","plainTextFormattedCitation":"[15]","previouslyFormattedCitation":"[15]"},"properties":{"noteIndex":0},"schema":"https://github.com/citation-style-language/schema/raw/master/csl-citation.json"}</w:instrText>
      </w:r>
      <w:r w:rsidR="00BC21FE" w:rsidRPr="00925C57">
        <w:fldChar w:fldCharType="separate"/>
      </w:r>
      <w:r w:rsidR="00347A50" w:rsidRPr="00925C57">
        <w:t>[15]</w:t>
      </w:r>
      <w:r w:rsidR="00BC21FE" w:rsidRPr="00925C57">
        <w:fldChar w:fldCharType="end"/>
      </w:r>
      <w:r w:rsidR="00F41A88" w:rsidRPr="00925C57">
        <w:rPr>
          <w:b/>
        </w:rPr>
        <w:t xml:space="preserve"> </w:t>
      </w:r>
      <w:r w:rsidR="00F41A88" w:rsidRPr="00925C57">
        <w:t xml:space="preserve">The results show that our studied drugs </w:t>
      </w:r>
      <w:r w:rsidR="00615379" w:rsidRPr="00925C57">
        <w:t>are neither CYP2D6, CYP3A4 substrate, nor CYP1A2, CYP2C19, CYP2C9 inhibitors, which means that they do not hinder the metabolic process in the body.</w:t>
      </w:r>
    </w:p>
    <w:p w14:paraId="653907BA" w14:textId="039E6972" w:rsidR="00E65F32" w:rsidRPr="00925C57" w:rsidRDefault="00E65F32" w:rsidP="0079274B">
      <w:pPr>
        <w:pStyle w:val="MDPI31text"/>
      </w:pPr>
      <w:r w:rsidRPr="00925C57">
        <w:rPr>
          <w:b/>
        </w:rPr>
        <w:t>Excretion:</w:t>
      </w:r>
      <w:r w:rsidR="007A3A9B" w:rsidRPr="00925C57">
        <w:rPr>
          <w:b/>
        </w:rPr>
        <w:t xml:space="preserve"> </w:t>
      </w:r>
      <w:r w:rsidR="004217EB" w:rsidRPr="00925C57">
        <w:t xml:space="preserve">None of the considered drugs are organic cation transporter 2 (OCT2) substrate, which means they will not </w:t>
      </w:r>
      <w:r w:rsidR="003E0B28" w:rsidRPr="00925C57">
        <w:t>block</w:t>
      </w:r>
      <w:r w:rsidR="004217EB" w:rsidRPr="00925C57">
        <w:t xml:space="preserve"> the renal clearance process maintained through OCT2</w:t>
      </w:r>
      <w:r w:rsidR="0079274B" w:rsidRPr="00925C57">
        <w:t xml:space="preserve"> </w:t>
      </w:r>
      <w:r w:rsidR="00BC21FE" w:rsidRPr="00925C57">
        <w:fldChar w:fldCharType="begin" w:fldLock="1"/>
      </w:r>
      <w:r w:rsidR="00347A50" w:rsidRPr="00925C57">
        <w:instrText>ADDIN CSL_CITATION {"citationItems":[{"id":"ITEM-1","itemData":{"DOI":"10.1021/acs.jmedchem.5b00104","ISSN":"15204804","PMID":"25860834","abstract":"Drug development has a high attrition rate, with poor pharmacokinetic and safety properties a significant hurdle. Computational approaches may help minimize these risks. We have developed a novel approach (pkCSM) which uses graph-based signatures to develop predictive models of central ADMET properties for drug development. pkCSM performs as well or better than current methods. A freely accessible web server (http://structure.bioc.cam.ac.uk/pkcsm), which retains no information submitted to it, provides an integrated platform to rapidly evaluate pharmacokinetic and toxicity properties.","author":[{"dropping-particle":"","family":"Pires","given":"Douglas E.V.","non-dropping-particle":"","parse-names":false,"suffix":""},{"dropping-particle":"","family":"Blundell","given":"Tom L.","non-dropping-particle":"","parse-names":false,"suffix":""},{"dropping-particle":"","family":"Ascher","given":"David B.","non-dropping-particle":"","parse-names":false,"suffix":""}],"container-title":"Journal of Medicinal Chemistry","id":"ITEM-1","issue":"9","issued":{"date-parts":[["2015"]]},"page":"4066-4072","title":"pkCSM: Predicting small-molecule pharmacokinetic and toxicity properties using graph-based signatures","type":"article-journal","volume":"58"},"uris":["http://www.mendeley.com/documents/?uuid=9a7a9660-a332-4fbe-a54f-8ab7ea8942d0","http://www.mendeley.com/documents/?uuid=5d15c98c-3fe0-432d-843d-564838628e5e"]}],"mendeley":{"formattedCitation":"[15]","plainTextFormattedCitation":"[15]","previouslyFormattedCitation":"[15]"},"properties":{"noteIndex":0},"schema":"https://github.com/citation-style-language/schema/raw/master/csl-citation.json"}</w:instrText>
      </w:r>
      <w:r w:rsidR="00BC21FE" w:rsidRPr="00925C57">
        <w:fldChar w:fldCharType="separate"/>
      </w:r>
      <w:r w:rsidR="00347A50" w:rsidRPr="00925C57">
        <w:t>[15]</w:t>
      </w:r>
      <w:r w:rsidR="00BC21FE" w:rsidRPr="00925C57">
        <w:fldChar w:fldCharType="end"/>
      </w:r>
      <w:r w:rsidR="0079274B" w:rsidRPr="00925C57">
        <w:t>.</w:t>
      </w:r>
    </w:p>
    <w:p w14:paraId="595F46FF" w14:textId="23AAAEB6" w:rsidR="00DF7802" w:rsidRPr="00925C57" w:rsidRDefault="00E65F32" w:rsidP="0079274B">
      <w:pPr>
        <w:pStyle w:val="MDPI31text"/>
      </w:pPr>
      <w:r w:rsidRPr="00925C57">
        <w:rPr>
          <w:b/>
        </w:rPr>
        <w:t>Toxicity:</w:t>
      </w:r>
      <w:r w:rsidR="00411315" w:rsidRPr="00925C57">
        <w:rPr>
          <w:b/>
        </w:rPr>
        <w:t xml:space="preserve"> </w:t>
      </w:r>
      <w:r w:rsidR="003E0B28" w:rsidRPr="00925C57">
        <w:t xml:space="preserve">All the drugs, except L-Arginine show no </w:t>
      </w:r>
      <w:r w:rsidR="003713B9" w:rsidRPr="00925C57">
        <w:t>Ames</w:t>
      </w:r>
      <w:r w:rsidR="003E0B28" w:rsidRPr="00925C57">
        <w:t xml:space="preserve"> toxicity, which means they are not sensitive to mutagenesis. </w:t>
      </w:r>
      <w:r w:rsidR="00180B9D" w:rsidRPr="00925C57">
        <w:t>The maximum tolerated dose (admissible threshold 0.477 log (mg/kg/day) is low for the drugs Zanamivir, Peramivir and L-Arginine and high for Oseltamivir, Laninamivir and Be</w:t>
      </w:r>
      <w:r w:rsidR="003713B9">
        <w:t>n</w:t>
      </w:r>
      <w:r w:rsidR="00180B9D" w:rsidRPr="00925C57">
        <w:t xml:space="preserve">serazide hydrochloride. </w:t>
      </w:r>
      <w:r w:rsidR="00B37290" w:rsidRPr="00925C57">
        <w:t>T</w:t>
      </w:r>
      <w:r w:rsidR="00DA1CA4" w:rsidRPr="00925C57">
        <w:t xml:space="preserve">he drugs show </w:t>
      </w:r>
      <w:r w:rsidR="00E22CE0" w:rsidRPr="00925C57">
        <w:t xml:space="preserve">neither </w:t>
      </w:r>
      <w:r w:rsidR="00DA1CA4" w:rsidRPr="00925C57">
        <w:t>hepatotoxicity</w:t>
      </w:r>
      <w:r w:rsidR="00E22CE0" w:rsidRPr="00925C57">
        <w:t xml:space="preserve"> (except Benserazide hydrochloride) nor skin sensitization evidence.</w:t>
      </w:r>
      <w:r w:rsidR="00860E16" w:rsidRPr="00925C57">
        <w:t xml:space="preserve"> </w:t>
      </w:r>
      <w:r w:rsidR="00E22CE0" w:rsidRPr="00925C57">
        <w:t>A</w:t>
      </w:r>
      <w:r w:rsidR="00860E16" w:rsidRPr="00925C57">
        <w:t>ccording to interpretation</w:t>
      </w:r>
      <w:r w:rsidR="00BC21FE" w:rsidRPr="00925C57">
        <w:t xml:space="preserve"> by Douglas E.V. Pires et al.</w:t>
      </w:r>
      <w:r w:rsidR="00BE48C4" w:rsidRPr="00925C57">
        <w:t xml:space="preserve"> </w:t>
      </w:r>
      <w:r w:rsidR="00BC21FE" w:rsidRPr="00925C57">
        <w:fldChar w:fldCharType="begin" w:fldLock="1"/>
      </w:r>
      <w:r w:rsidR="00347A50" w:rsidRPr="00925C57">
        <w:instrText>ADDIN CSL_CITATION {"citationItems":[{"id":"ITEM-1","itemData":{"DOI":"10.1021/acs.jmedchem.5b00104","ISSN":"15204804","PMID":"25860834","abstract":"Drug development has a high attrition rate, with poor pharmacokinetic and safety properties a significant hurdle. Computational approaches may help minimize these risks. We have developed a novel approach (pkCSM) which uses graph-based signatures to develop predictive models of central ADMET properties for drug development. pkCSM performs as well or better than current methods. A freely accessible web server (http://structure.bioc.cam.ac.uk/pkcsm), which retains no information submitted to it, provides an integrated platform to rapidly evaluate pharmacokinetic and toxicity properties.","author":[{"dropping-particle":"","family":"Pires","given":"Douglas E.V.","non-dropping-particle":"","parse-names":false,"suffix":""},{"dropping-particle":"","family":"Blundell","given":"Tom L.","non-dropping-particle":"","parse-names":false,"suffix":""},{"dropping-particle":"","family":"Ascher","given":"David B.","non-dropping-particle":"","parse-names":false,"suffix":""}],"container-title":"Journal of Medicinal Chemistry","id":"ITEM-1","issue":"9","issued":{"date-parts":[["2015"]]},"page":"4066-4072","title":"pkCSM: Predicting small-molecule pharmacokinetic and toxicity properties using graph-based signatures","type":"article-journal","volume":"58"},"uris":["http://www.mendeley.com/documents/?uuid=9a7a9660-a332-4fbe-a54f-8ab7ea8942d0","http://www.mendeley.com/documents/?uuid=5d15c98c-3fe0-432d-843d-564838628e5e"]}],"mendeley":{"formattedCitation":"[15]","plainTextFormattedCitation":"[15]","previouslyFormattedCitation":"[15]"},"properties":{"noteIndex":0},"schema":"https://github.com/citation-style-language/schema/raw/master/csl-citation.json"}</w:instrText>
      </w:r>
      <w:r w:rsidR="00BC21FE" w:rsidRPr="00925C57">
        <w:fldChar w:fldCharType="separate"/>
      </w:r>
      <w:r w:rsidR="00347A50" w:rsidRPr="00925C57">
        <w:t>[15]</w:t>
      </w:r>
      <w:r w:rsidR="00BC21FE" w:rsidRPr="00925C57">
        <w:fldChar w:fldCharType="end"/>
      </w:r>
      <w:r w:rsidR="00860E16" w:rsidRPr="00925C57">
        <w:t>,</w:t>
      </w:r>
      <w:r w:rsidR="00DA1CA4" w:rsidRPr="00925C57">
        <w:t xml:space="preserve"> </w:t>
      </w:r>
      <w:r w:rsidR="00E22CE0" w:rsidRPr="00925C57">
        <w:t xml:space="preserve">this </w:t>
      </w:r>
      <w:r w:rsidR="00B37290" w:rsidRPr="00925C57">
        <w:t>means that the compound</w:t>
      </w:r>
      <w:r w:rsidR="00DA1CA4" w:rsidRPr="00925C57">
        <w:t xml:space="preserve">s do not evoke </w:t>
      </w:r>
      <w:r w:rsidR="005F66A3" w:rsidRPr="00925C57">
        <w:t>liver-associated side effects</w:t>
      </w:r>
      <w:r w:rsidR="00E22CE0" w:rsidRPr="00925C57">
        <w:t xml:space="preserve"> and do not induce skin sensitization</w:t>
      </w:r>
      <w:r w:rsidR="00860E16" w:rsidRPr="00925C57">
        <w:t xml:space="preserve">. </w:t>
      </w:r>
    </w:p>
    <w:p w14:paraId="3E1BA85E" w14:textId="7593CBF5" w:rsidR="0014775C" w:rsidRPr="00925C57" w:rsidRDefault="0014775C" w:rsidP="0079274B">
      <w:pPr>
        <w:pStyle w:val="MDPI31text"/>
      </w:pPr>
      <w:r w:rsidRPr="00925C57">
        <w:t>In summary, the ADME</w:t>
      </w:r>
      <w:r w:rsidR="00157A69">
        <w:t>T</w:t>
      </w:r>
      <w:r w:rsidRPr="00925C57">
        <w:t xml:space="preserve"> properties compiled allow a direct comparison of the drugs in </w:t>
      </w:r>
      <w:r w:rsidR="00DD4D42" w:rsidRPr="00925C57">
        <w:t>terms</w:t>
      </w:r>
      <w:r w:rsidRPr="00925C57">
        <w:t xml:space="preserve"> of tolerability and pharmacokinetics. </w:t>
      </w:r>
      <w:r w:rsidR="00DD4D42" w:rsidRPr="00925C57">
        <w:t>A</w:t>
      </w:r>
      <w:r w:rsidRPr="00925C57">
        <w:t>ll of them were purposely selected on the basis that they are already been used in treating severe influenza cases</w:t>
      </w:r>
      <w:r w:rsidR="00DD4D42" w:rsidRPr="00925C57">
        <w:t>.</w:t>
      </w:r>
    </w:p>
    <w:p w14:paraId="7F02BC18" w14:textId="03B58892" w:rsidR="00C5660D" w:rsidRPr="00925C57" w:rsidRDefault="0079274B" w:rsidP="0079274B">
      <w:pPr>
        <w:pStyle w:val="MDPI41tablecaption"/>
        <w:ind w:left="425" w:right="425"/>
        <w:jc w:val="both"/>
      </w:pPr>
      <w:r w:rsidRPr="00925C57">
        <w:rPr>
          <w:b/>
        </w:rPr>
        <w:t xml:space="preserve">Table 7. </w:t>
      </w:r>
      <w:r w:rsidR="00C5660D" w:rsidRPr="00925C57">
        <w:t>Predicted ADMET proper</w:t>
      </w:r>
      <w:r w:rsidR="009F61E6" w:rsidRPr="00925C57">
        <w:t>ties for the drugs Oseltamivir</w:t>
      </w:r>
      <w:r w:rsidR="00C5660D" w:rsidRPr="00925C57">
        <w:t>, Zanamivir, Peramivir, Laninamivir, L-Arginine and Benserazide hydrochloride.</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76"/>
        <w:gridCol w:w="2069"/>
        <w:gridCol w:w="1866"/>
        <w:gridCol w:w="913"/>
        <w:gridCol w:w="783"/>
        <w:gridCol w:w="755"/>
        <w:gridCol w:w="783"/>
        <w:gridCol w:w="852"/>
        <w:gridCol w:w="868"/>
      </w:tblGrid>
      <w:tr w:rsidR="00C5660D" w:rsidRPr="00925C57" w14:paraId="12579AFC" w14:textId="77777777" w:rsidTr="0079274B">
        <w:trPr>
          <w:jc w:val="center"/>
        </w:trPr>
        <w:tc>
          <w:tcPr>
            <w:tcW w:w="1400" w:type="dxa"/>
            <w:vMerge w:val="restart"/>
            <w:tcBorders>
              <w:top w:val="single" w:sz="8" w:space="0" w:color="auto"/>
              <w:bottom w:val="single" w:sz="4" w:space="0" w:color="auto"/>
            </w:tcBorders>
            <w:shd w:val="clear" w:color="auto" w:fill="auto"/>
            <w:vAlign w:val="center"/>
          </w:tcPr>
          <w:p w14:paraId="1DB4D504"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r w:rsidRPr="00925C57">
              <w:rPr>
                <w:rFonts w:ascii="Times New Roman" w:hAnsi="Times New Roman" w:cs="Times New Roman"/>
                <w:b/>
                <w:sz w:val="20"/>
                <w:szCs w:val="24"/>
                <w:lang w:val="en-US"/>
              </w:rPr>
              <w:t>Property</w:t>
            </w:r>
          </w:p>
        </w:tc>
        <w:tc>
          <w:tcPr>
            <w:tcW w:w="1836" w:type="dxa"/>
            <w:vMerge w:val="restart"/>
            <w:tcBorders>
              <w:top w:val="single" w:sz="8" w:space="0" w:color="auto"/>
              <w:bottom w:val="single" w:sz="4" w:space="0" w:color="auto"/>
            </w:tcBorders>
            <w:shd w:val="clear" w:color="auto" w:fill="auto"/>
            <w:vAlign w:val="center"/>
          </w:tcPr>
          <w:p w14:paraId="3D5CB187"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r w:rsidRPr="00925C57">
              <w:rPr>
                <w:rFonts w:ascii="Times New Roman" w:hAnsi="Times New Roman" w:cs="Times New Roman"/>
                <w:b/>
                <w:sz w:val="20"/>
                <w:szCs w:val="24"/>
                <w:lang w:val="en-US"/>
              </w:rPr>
              <w:t>Model Name</w:t>
            </w:r>
          </w:p>
        </w:tc>
        <w:tc>
          <w:tcPr>
            <w:tcW w:w="1656" w:type="dxa"/>
            <w:vMerge w:val="restart"/>
            <w:shd w:val="clear" w:color="auto" w:fill="auto"/>
            <w:vAlign w:val="center"/>
          </w:tcPr>
          <w:p w14:paraId="28134EED"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r w:rsidRPr="00925C57">
              <w:rPr>
                <w:rFonts w:ascii="Times New Roman" w:hAnsi="Times New Roman" w:cs="Times New Roman"/>
                <w:b/>
                <w:sz w:val="20"/>
                <w:szCs w:val="24"/>
                <w:lang w:val="en-US"/>
              </w:rPr>
              <w:t>Unit</w:t>
            </w:r>
          </w:p>
        </w:tc>
        <w:tc>
          <w:tcPr>
            <w:tcW w:w="4396" w:type="dxa"/>
            <w:gridSpan w:val="6"/>
            <w:shd w:val="clear" w:color="auto" w:fill="auto"/>
            <w:vAlign w:val="center"/>
          </w:tcPr>
          <w:p w14:paraId="07C7AD7F"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r w:rsidRPr="00925C57">
              <w:rPr>
                <w:rFonts w:ascii="Times New Roman" w:hAnsi="Times New Roman" w:cs="Times New Roman"/>
                <w:b/>
                <w:sz w:val="20"/>
                <w:szCs w:val="24"/>
                <w:lang w:val="en-US"/>
              </w:rPr>
              <w:t>Predicted Value</w:t>
            </w:r>
          </w:p>
        </w:tc>
      </w:tr>
      <w:tr w:rsidR="00C5660D" w:rsidRPr="00925C57" w14:paraId="7BF993E7" w14:textId="77777777" w:rsidTr="0079274B">
        <w:trPr>
          <w:jc w:val="center"/>
        </w:trPr>
        <w:tc>
          <w:tcPr>
            <w:tcW w:w="1400" w:type="dxa"/>
            <w:vMerge/>
            <w:tcBorders>
              <w:top w:val="single" w:sz="4" w:space="0" w:color="auto"/>
              <w:bottom w:val="single" w:sz="4" w:space="0" w:color="auto"/>
            </w:tcBorders>
            <w:shd w:val="clear" w:color="auto" w:fill="auto"/>
            <w:vAlign w:val="center"/>
          </w:tcPr>
          <w:p w14:paraId="45E171B7"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p>
        </w:tc>
        <w:tc>
          <w:tcPr>
            <w:tcW w:w="1836" w:type="dxa"/>
            <w:vMerge/>
            <w:tcBorders>
              <w:top w:val="single" w:sz="4" w:space="0" w:color="auto"/>
              <w:bottom w:val="single" w:sz="4" w:space="0" w:color="auto"/>
            </w:tcBorders>
            <w:shd w:val="clear" w:color="auto" w:fill="auto"/>
            <w:vAlign w:val="center"/>
          </w:tcPr>
          <w:p w14:paraId="74D44DD9"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p>
        </w:tc>
        <w:tc>
          <w:tcPr>
            <w:tcW w:w="1656" w:type="dxa"/>
            <w:vMerge/>
            <w:shd w:val="clear" w:color="auto" w:fill="auto"/>
            <w:vAlign w:val="center"/>
          </w:tcPr>
          <w:p w14:paraId="0FBB6BE8"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p>
        </w:tc>
        <w:tc>
          <w:tcPr>
            <w:tcW w:w="810" w:type="dxa"/>
            <w:shd w:val="clear" w:color="auto" w:fill="auto"/>
            <w:vAlign w:val="center"/>
          </w:tcPr>
          <w:p w14:paraId="24275051"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r w:rsidRPr="00925C57">
              <w:rPr>
                <w:rFonts w:ascii="Times New Roman" w:hAnsi="Times New Roman" w:cs="Times New Roman"/>
                <w:b/>
                <w:sz w:val="20"/>
                <w:szCs w:val="24"/>
                <w:lang w:val="en-US"/>
              </w:rPr>
              <w:t>Oselt.</w:t>
            </w:r>
          </w:p>
        </w:tc>
        <w:tc>
          <w:tcPr>
            <w:tcW w:w="695" w:type="dxa"/>
            <w:shd w:val="clear" w:color="auto" w:fill="auto"/>
            <w:vAlign w:val="center"/>
          </w:tcPr>
          <w:p w14:paraId="1340ED46"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r w:rsidRPr="00925C57">
              <w:rPr>
                <w:rFonts w:ascii="Times New Roman" w:hAnsi="Times New Roman" w:cs="Times New Roman"/>
                <w:b/>
                <w:sz w:val="20"/>
                <w:szCs w:val="24"/>
                <w:lang w:val="en-US"/>
              </w:rPr>
              <w:t>Zan.</w:t>
            </w:r>
          </w:p>
        </w:tc>
        <w:tc>
          <w:tcPr>
            <w:tcW w:w="670" w:type="dxa"/>
            <w:shd w:val="clear" w:color="auto" w:fill="auto"/>
            <w:vAlign w:val="center"/>
          </w:tcPr>
          <w:p w14:paraId="3CDB5299"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r w:rsidRPr="00925C57">
              <w:rPr>
                <w:rFonts w:ascii="Times New Roman" w:hAnsi="Times New Roman" w:cs="Times New Roman"/>
                <w:b/>
                <w:sz w:val="20"/>
                <w:szCs w:val="24"/>
                <w:lang w:val="en-US"/>
              </w:rPr>
              <w:t>Per.</w:t>
            </w:r>
          </w:p>
        </w:tc>
        <w:tc>
          <w:tcPr>
            <w:tcW w:w="695" w:type="dxa"/>
            <w:shd w:val="clear" w:color="auto" w:fill="auto"/>
            <w:vAlign w:val="center"/>
          </w:tcPr>
          <w:p w14:paraId="44FC8BF4"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r w:rsidRPr="00925C57">
              <w:rPr>
                <w:rFonts w:ascii="Times New Roman" w:hAnsi="Times New Roman" w:cs="Times New Roman"/>
                <w:b/>
                <w:sz w:val="20"/>
                <w:szCs w:val="24"/>
                <w:lang w:val="en-US"/>
              </w:rPr>
              <w:t>Lan.</w:t>
            </w:r>
          </w:p>
        </w:tc>
        <w:tc>
          <w:tcPr>
            <w:tcW w:w="756" w:type="dxa"/>
            <w:shd w:val="clear" w:color="auto" w:fill="auto"/>
            <w:vAlign w:val="center"/>
          </w:tcPr>
          <w:p w14:paraId="2791D759"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r w:rsidRPr="00925C57">
              <w:rPr>
                <w:rFonts w:ascii="Times New Roman" w:hAnsi="Times New Roman" w:cs="Times New Roman"/>
                <w:b/>
                <w:sz w:val="20"/>
                <w:szCs w:val="24"/>
                <w:lang w:val="en-US"/>
              </w:rPr>
              <w:t>L-arg.</w:t>
            </w:r>
          </w:p>
        </w:tc>
        <w:tc>
          <w:tcPr>
            <w:tcW w:w="770" w:type="dxa"/>
            <w:shd w:val="clear" w:color="auto" w:fill="auto"/>
            <w:vAlign w:val="center"/>
          </w:tcPr>
          <w:p w14:paraId="20FF44A8"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r w:rsidRPr="00925C57">
              <w:rPr>
                <w:rFonts w:ascii="Times New Roman" w:hAnsi="Times New Roman" w:cs="Times New Roman"/>
                <w:b/>
                <w:sz w:val="20"/>
                <w:szCs w:val="24"/>
                <w:lang w:val="en-US"/>
              </w:rPr>
              <w:t>Bens.</w:t>
            </w:r>
          </w:p>
        </w:tc>
      </w:tr>
      <w:tr w:rsidR="00C5660D" w:rsidRPr="00925C57" w14:paraId="30479DB4" w14:textId="77777777" w:rsidTr="0079274B">
        <w:trPr>
          <w:jc w:val="center"/>
        </w:trPr>
        <w:tc>
          <w:tcPr>
            <w:tcW w:w="1400" w:type="dxa"/>
            <w:vMerge w:val="restart"/>
            <w:tcBorders>
              <w:top w:val="single" w:sz="4" w:space="0" w:color="auto"/>
              <w:bottom w:val="single" w:sz="4" w:space="0" w:color="auto"/>
            </w:tcBorders>
            <w:shd w:val="clear" w:color="auto" w:fill="auto"/>
            <w:vAlign w:val="center"/>
          </w:tcPr>
          <w:p w14:paraId="30AC11EF" w14:textId="29F65FA0" w:rsidR="00C5660D" w:rsidRPr="00925C57" w:rsidRDefault="00770B8A" w:rsidP="0079274B">
            <w:pPr>
              <w:autoSpaceDE w:val="0"/>
              <w:autoSpaceDN w:val="0"/>
              <w:adjustRightInd w:val="0"/>
              <w:snapToGrid w:val="0"/>
              <w:jc w:val="center"/>
              <w:rPr>
                <w:rFonts w:ascii="Times New Roman" w:hAnsi="Times New Roman" w:cs="Times New Roman"/>
                <w:b/>
                <w:sz w:val="20"/>
                <w:szCs w:val="24"/>
                <w:lang w:val="en-US"/>
              </w:rPr>
            </w:pPr>
            <w:r w:rsidRPr="00925C57">
              <w:rPr>
                <w:rFonts w:ascii="Times New Roman" w:hAnsi="Times New Roman" w:cs="Times New Roman"/>
                <w:b/>
                <w:sz w:val="20"/>
                <w:szCs w:val="24"/>
                <w:lang w:val="en-US"/>
              </w:rPr>
              <w:t>Ab</w:t>
            </w:r>
            <w:r w:rsidR="00C5660D" w:rsidRPr="00925C57">
              <w:rPr>
                <w:rFonts w:ascii="Times New Roman" w:hAnsi="Times New Roman" w:cs="Times New Roman"/>
                <w:b/>
                <w:sz w:val="20"/>
                <w:szCs w:val="24"/>
                <w:lang w:val="en-US"/>
              </w:rPr>
              <w:t>sorption</w:t>
            </w:r>
          </w:p>
        </w:tc>
        <w:tc>
          <w:tcPr>
            <w:tcW w:w="1836" w:type="dxa"/>
            <w:tcBorders>
              <w:top w:val="single" w:sz="4" w:space="0" w:color="auto"/>
              <w:bottom w:val="single" w:sz="4" w:space="0" w:color="auto"/>
            </w:tcBorders>
            <w:shd w:val="clear" w:color="auto" w:fill="auto"/>
            <w:vAlign w:val="center"/>
          </w:tcPr>
          <w:p w14:paraId="5438D1F8"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r w:rsidRPr="00925C57">
              <w:rPr>
                <w:rFonts w:ascii="Times New Roman" w:hAnsi="Times New Roman" w:cs="Times New Roman"/>
                <w:b/>
                <w:sz w:val="20"/>
                <w:szCs w:val="24"/>
                <w:lang w:val="en-US"/>
              </w:rPr>
              <w:t>Water solubility</w:t>
            </w:r>
          </w:p>
        </w:tc>
        <w:tc>
          <w:tcPr>
            <w:tcW w:w="1656" w:type="dxa"/>
            <w:shd w:val="clear" w:color="auto" w:fill="auto"/>
            <w:vAlign w:val="center"/>
          </w:tcPr>
          <w:p w14:paraId="22DBF04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 xml:space="preserve"> log mol/L</w:t>
            </w:r>
          </w:p>
        </w:tc>
        <w:tc>
          <w:tcPr>
            <w:tcW w:w="810" w:type="dxa"/>
            <w:shd w:val="clear" w:color="auto" w:fill="auto"/>
            <w:vAlign w:val="center"/>
          </w:tcPr>
          <w:p w14:paraId="6A9CF3A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-2.4</w:t>
            </w:r>
          </w:p>
        </w:tc>
        <w:tc>
          <w:tcPr>
            <w:tcW w:w="695" w:type="dxa"/>
            <w:shd w:val="clear" w:color="auto" w:fill="auto"/>
            <w:vAlign w:val="center"/>
          </w:tcPr>
          <w:p w14:paraId="223C728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-2.9</w:t>
            </w:r>
          </w:p>
        </w:tc>
        <w:tc>
          <w:tcPr>
            <w:tcW w:w="670" w:type="dxa"/>
            <w:shd w:val="clear" w:color="auto" w:fill="auto"/>
            <w:vAlign w:val="center"/>
          </w:tcPr>
          <w:p w14:paraId="0401D672"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-2.9</w:t>
            </w:r>
          </w:p>
        </w:tc>
        <w:tc>
          <w:tcPr>
            <w:tcW w:w="695" w:type="dxa"/>
            <w:shd w:val="clear" w:color="auto" w:fill="auto"/>
            <w:vAlign w:val="center"/>
          </w:tcPr>
          <w:p w14:paraId="558C987F"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-2.9</w:t>
            </w:r>
          </w:p>
        </w:tc>
        <w:tc>
          <w:tcPr>
            <w:tcW w:w="756" w:type="dxa"/>
            <w:shd w:val="clear" w:color="auto" w:fill="auto"/>
            <w:vAlign w:val="center"/>
          </w:tcPr>
          <w:p w14:paraId="0DC32C1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-2.9</w:t>
            </w:r>
          </w:p>
        </w:tc>
        <w:tc>
          <w:tcPr>
            <w:tcW w:w="770" w:type="dxa"/>
            <w:shd w:val="clear" w:color="auto" w:fill="auto"/>
            <w:vAlign w:val="center"/>
          </w:tcPr>
          <w:p w14:paraId="137FFE3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-2.2</w:t>
            </w:r>
          </w:p>
        </w:tc>
      </w:tr>
      <w:tr w:rsidR="00C5660D" w:rsidRPr="00925C57" w14:paraId="582EEB21" w14:textId="77777777" w:rsidTr="0079274B">
        <w:trPr>
          <w:jc w:val="center"/>
        </w:trPr>
        <w:tc>
          <w:tcPr>
            <w:tcW w:w="1400" w:type="dxa"/>
            <w:vMerge/>
            <w:tcBorders>
              <w:top w:val="single" w:sz="4" w:space="0" w:color="auto"/>
            </w:tcBorders>
            <w:shd w:val="clear" w:color="auto" w:fill="auto"/>
            <w:vAlign w:val="center"/>
          </w:tcPr>
          <w:p w14:paraId="4679DE8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p>
        </w:tc>
        <w:tc>
          <w:tcPr>
            <w:tcW w:w="1836" w:type="dxa"/>
            <w:tcBorders>
              <w:top w:val="single" w:sz="4" w:space="0" w:color="auto"/>
            </w:tcBorders>
            <w:shd w:val="clear" w:color="auto" w:fill="auto"/>
            <w:vAlign w:val="center"/>
          </w:tcPr>
          <w:p w14:paraId="4C5BB119" w14:textId="157BEAF7" w:rsidR="00C5660D" w:rsidRPr="00925C57" w:rsidRDefault="00110D9E"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Intestinal ab</w:t>
            </w:r>
            <w:r w:rsidR="00C5660D" w:rsidRPr="00925C57">
              <w:rPr>
                <w:rFonts w:ascii="Times New Roman" w:hAnsi="Times New Roman" w:cs="Times New Roman"/>
                <w:sz w:val="20"/>
                <w:szCs w:val="24"/>
                <w:lang w:val="en-US"/>
              </w:rPr>
              <w:t>sorption (human)</w:t>
            </w:r>
          </w:p>
        </w:tc>
        <w:tc>
          <w:tcPr>
            <w:tcW w:w="1656" w:type="dxa"/>
            <w:shd w:val="clear" w:color="auto" w:fill="auto"/>
            <w:vAlign w:val="center"/>
          </w:tcPr>
          <w:p w14:paraId="74A5D8C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 xml:space="preserve"> % Absorbed</w:t>
            </w:r>
          </w:p>
        </w:tc>
        <w:tc>
          <w:tcPr>
            <w:tcW w:w="810" w:type="dxa"/>
            <w:shd w:val="clear" w:color="auto" w:fill="auto"/>
            <w:vAlign w:val="center"/>
          </w:tcPr>
          <w:p w14:paraId="197B570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74.5</w:t>
            </w:r>
          </w:p>
        </w:tc>
        <w:tc>
          <w:tcPr>
            <w:tcW w:w="695" w:type="dxa"/>
            <w:shd w:val="clear" w:color="auto" w:fill="auto"/>
            <w:vAlign w:val="center"/>
          </w:tcPr>
          <w:p w14:paraId="2BC6EC62"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21.2</w:t>
            </w:r>
          </w:p>
        </w:tc>
        <w:tc>
          <w:tcPr>
            <w:tcW w:w="670" w:type="dxa"/>
            <w:shd w:val="clear" w:color="auto" w:fill="auto"/>
            <w:vAlign w:val="center"/>
          </w:tcPr>
          <w:p w14:paraId="0967259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26.8</w:t>
            </w:r>
          </w:p>
        </w:tc>
        <w:tc>
          <w:tcPr>
            <w:tcW w:w="695" w:type="dxa"/>
            <w:shd w:val="clear" w:color="auto" w:fill="auto"/>
            <w:vAlign w:val="center"/>
          </w:tcPr>
          <w:p w14:paraId="551A28AF"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27.4</w:t>
            </w:r>
          </w:p>
        </w:tc>
        <w:tc>
          <w:tcPr>
            <w:tcW w:w="756" w:type="dxa"/>
            <w:shd w:val="clear" w:color="auto" w:fill="auto"/>
            <w:vAlign w:val="center"/>
          </w:tcPr>
          <w:p w14:paraId="6797B410"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34.5</w:t>
            </w:r>
          </w:p>
        </w:tc>
        <w:tc>
          <w:tcPr>
            <w:tcW w:w="770" w:type="dxa"/>
            <w:shd w:val="clear" w:color="auto" w:fill="auto"/>
            <w:vAlign w:val="center"/>
          </w:tcPr>
          <w:p w14:paraId="41E3B8A2"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36.2</w:t>
            </w:r>
          </w:p>
        </w:tc>
      </w:tr>
      <w:tr w:rsidR="00C5660D" w:rsidRPr="00925C57" w14:paraId="16C16053" w14:textId="77777777" w:rsidTr="0079274B">
        <w:trPr>
          <w:jc w:val="center"/>
        </w:trPr>
        <w:tc>
          <w:tcPr>
            <w:tcW w:w="1400" w:type="dxa"/>
            <w:vMerge/>
            <w:shd w:val="clear" w:color="auto" w:fill="auto"/>
            <w:vAlign w:val="center"/>
          </w:tcPr>
          <w:p w14:paraId="1AFF2762"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p>
        </w:tc>
        <w:tc>
          <w:tcPr>
            <w:tcW w:w="1836" w:type="dxa"/>
            <w:shd w:val="clear" w:color="auto" w:fill="auto"/>
            <w:vAlign w:val="center"/>
          </w:tcPr>
          <w:p w14:paraId="49969EA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Skin permeability</w:t>
            </w:r>
          </w:p>
        </w:tc>
        <w:tc>
          <w:tcPr>
            <w:tcW w:w="1656" w:type="dxa"/>
            <w:shd w:val="clear" w:color="auto" w:fill="auto"/>
            <w:vAlign w:val="center"/>
          </w:tcPr>
          <w:p w14:paraId="3250AA5C"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 xml:space="preserve"> log Kp</w:t>
            </w:r>
          </w:p>
        </w:tc>
        <w:tc>
          <w:tcPr>
            <w:tcW w:w="810" w:type="dxa"/>
            <w:shd w:val="clear" w:color="auto" w:fill="auto"/>
            <w:vAlign w:val="center"/>
          </w:tcPr>
          <w:p w14:paraId="5BA4486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-3.2</w:t>
            </w:r>
          </w:p>
        </w:tc>
        <w:tc>
          <w:tcPr>
            <w:tcW w:w="695" w:type="dxa"/>
            <w:shd w:val="clear" w:color="auto" w:fill="auto"/>
            <w:vAlign w:val="center"/>
          </w:tcPr>
          <w:p w14:paraId="487ADEC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-2.7</w:t>
            </w:r>
          </w:p>
        </w:tc>
        <w:tc>
          <w:tcPr>
            <w:tcW w:w="670" w:type="dxa"/>
            <w:shd w:val="clear" w:color="auto" w:fill="auto"/>
            <w:vAlign w:val="center"/>
          </w:tcPr>
          <w:p w14:paraId="2CC2459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-2.7</w:t>
            </w:r>
          </w:p>
        </w:tc>
        <w:tc>
          <w:tcPr>
            <w:tcW w:w="695" w:type="dxa"/>
            <w:shd w:val="clear" w:color="auto" w:fill="auto"/>
            <w:vAlign w:val="center"/>
          </w:tcPr>
          <w:p w14:paraId="33F3EFD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-2.7</w:t>
            </w:r>
          </w:p>
        </w:tc>
        <w:tc>
          <w:tcPr>
            <w:tcW w:w="756" w:type="dxa"/>
            <w:shd w:val="clear" w:color="auto" w:fill="auto"/>
            <w:vAlign w:val="center"/>
          </w:tcPr>
          <w:p w14:paraId="30450A5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-2.7</w:t>
            </w:r>
          </w:p>
        </w:tc>
        <w:tc>
          <w:tcPr>
            <w:tcW w:w="770" w:type="dxa"/>
            <w:shd w:val="clear" w:color="auto" w:fill="auto"/>
            <w:vAlign w:val="center"/>
          </w:tcPr>
          <w:p w14:paraId="63AA490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-2.7</w:t>
            </w:r>
          </w:p>
        </w:tc>
      </w:tr>
      <w:tr w:rsidR="00C5660D" w:rsidRPr="00925C57" w14:paraId="35748D36" w14:textId="77777777" w:rsidTr="0079274B">
        <w:trPr>
          <w:jc w:val="center"/>
        </w:trPr>
        <w:tc>
          <w:tcPr>
            <w:tcW w:w="1400" w:type="dxa"/>
            <w:vMerge/>
            <w:shd w:val="clear" w:color="auto" w:fill="auto"/>
            <w:vAlign w:val="center"/>
          </w:tcPr>
          <w:p w14:paraId="1399198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p>
        </w:tc>
        <w:tc>
          <w:tcPr>
            <w:tcW w:w="1836" w:type="dxa"/>
            <w:shd w:val="clear" w:color="auto" w:fill="auto"/>
            <w:vAlign w:val="center"/>
          </w:tcPr>
          <w:p w14:paraId="73746365"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P-glycoprotein substrate</w:t>
            </w:r>
          </w:p>
        </w:tc>
        <w:tc>
          <w:tcPr>
            <w:tcW w:w="1656" w:type="dxa"/>
            <w:shd w:val="clear" w:color="auto" w:fill="auto"/>
            <w:vAlign w:val="center"/>
          </w:tcPr>
          <w:p w14:paraId="53160B5B"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Yes/No</w:t>
            </w:r>
          </w:p>
        </w:tc>
        <w:tc>
          <w:tcPr>
            <w:tcW w:w="810" w:type="dxa"/>
            <w:shd w:val="clear" w:color="auto" w:fill="auto"/>
            <w:vAlign w:val="center"/>
          </w:tcPr>
          <w:p w14:paraId="0FBE910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1CCE93C2"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w:t>
            </w:r>
          </w:p>
        </w:tc>
        <w:tc>
          <w:tcPr>
            <w:tcW w:w="670" w:type="dxa"/>
            <w:shd w:val="clear" w:color="auto" w:fill="auto"/>
            <w:vAlign w:val="center"/>
          </w:tcPr>
          <w:p w14:paraId="3C0747A1"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w:t>
            </w:r>
          </w:p>
        </w:tc>
        <w:tc>
          <w:tcPr>
            <w:tcW w:w="695" w:type="dxa"/>
            <w:shd w:val="clear" w:color="auto" w:fill="auto"/>
            <w:vAlign w:val="center"/>
          </w:tcPr>
          <w:p w14:paraId="7E53B045"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w:t>
            </w:r>
          </w:p>
        </w:tc>
        <w:tc>
          <w:tcPr>
            <w:tcW w:w="756" w:type="dxa"/>
            <w:shd w:val="clear" w:color="auto" w:fill="auto"/>
            <w:vAlign w:val="center"/>
          </w:tcPr>
          <w:p w14:paraId="6B9E3D87"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w:t>
            </w:r>
          </w:p>
        </w:tc>
        <w:tc>
          <w:tcPr>
            <w:tcW w:w="770" w:type="dxa"/>
            <w:shd w:val="clear" w:color="auto" w:fill="auto"/>
            <w:vAlign w:val="center"/>
          </w:tcPr>
          <w:p w14:paraId="30AB44A0"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r>
      <w:tr w:rsidR="00C5660D" w:rsidRPr="00925C57" w14:paraId="32971D7C" w14:textId="77777777" w:rsidTr="0079274B">
        <w:trPr>
          <w:jc w:val="center"/>
        </w:trPr>
        <w:tc>
          <w:tcPr>
            <w:tcW w:w="1400" w:type="dxa"/>
            <w:vMerge/>
            <w:shd w:val="clear" w:color="auto" w:fill="auto"/>
            <w:vAlign w:val="center"/>
          </w:tcPr>
          <w:p w14:paraId="535A1759"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p>
        </w:tc>
        <w:tc>
          <w:tcPr>
            <w:tcW w:w="1836" w:type="dxa"/>
            <w:shd w:val="clear" w:color="auto" w:fill="auto"/>
            <w:vAlign w:val="center"/>
          </w:tcPr>
          <w:p w14:paraId="423E9D27"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P-glycoprotein I inhibitor</w:t>
            </w:r>
          </w:p>
        </w:tc>
        <w:tc>
          <w:tcPr>
            <w:tcW w:w="1656" w:type="dxa"/>
            <w:shd w:val="clear" w:color="auto" w:fill="auto"/>
            <w:vAlign w:val="center"/>
          </w:tcPr>
          <w:p w14:paraId="771FC99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Yes/No</w:t>
            </w:r>
          </w:p>
        </w:tc>
        <w:tc>
          <w:tcPr>
            <w:tcW w:w="810" w:type="dxa"/>
            <w:shd w:val="clear" w:color="auto" w:fill="auto"/>
            <w:vAlign w:val="center"/>
          </w:tcPr>
          <w:p w14:paraId="1986942F"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5AEF8432"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70" w:type="dxa"/>
            <w:shd w:val="clear" w:color="auto" w:fill="auto"/>
            <w:vAlign w:val="center"/>
          </w:tcPr>
          <w:p w14:paraId="31AF6A0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3184402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56" w:type="dxa"/>
            <w:shd w:val="clear" w:color="auto" w:fill="auto"/>
            <w:vAlign w:val="center"/>
          </w:tcPr>
          <w:p w14:paraId="399ED4D1"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70" w:type="dxa"/>
            <w:shd w:val="clear" w:color="auto" w:fill="auto"/>
            <w:vAlign w:val="center"/>
          </w:tcPr>
          <w:p w14:paraId="1D5720E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r>
      <w:tr w:rsidR="00C5660D" w:rsidRPr="00925C57" w14:paraId="3D8DA1DC" w14:textId="77777777" w:rsidTr="0079274B">
        <w:trPr>
          <w:jc w:val="center"/>
        </w:trPr>
        <w:tc>
          <w:tcPr>
            <w:tcW w:w="1400" w:type="dxa"/>
            <w:vMerge/>
            <w:shd w:val="clear" w:color="auto" w:fill="auto"/>
            <w:vAlign w:val="center"/>
          </w:tcPr>
          <w:p w14:paraId="6A52DB69"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p>
        </w:tc>
        <w:tc>
          <w:tcPr>
            <w:tcW w:w="1836" w:type="dxa"/>
            <w:shd w:val="clear" w:color="auto" w:fill="auto"/>
            <w:vAlign w:val="center"/>
          </w:tcPr>
          <w:p w14:paraId="07B84249"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P-glycoprotein II inhibitor</w:t>
            </w:r>
          </w:p>
        </w:tc>
        <w:tc>
          <w:tcPr>
            <w:tcW w:w="1656" w:type="dxa"/>
            <w:shd w:val="clear" w:color="auto" w:fill="auto"/>
            <w:vAlign w:val="center"/>
          </w:tcPr>
          <w:p w14:paraId="42D396A7"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Yes/No</w:t>
            </w:r>
          </w:p>
        </w:tc>
        <w:tc>
          <w:tcPr>
            <w:tcW w:w="810" w:type="dxa"/>
            <w:shd w:val="clear" w:color="auto" w:fill="auto"/>
            <w:vAlign w:val="center"/>
          </w:tcPr>
          <w:p w14:paraId="4A475DFB"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2EED53C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70" w:type="dxa"/>
            <w:shd w:val="clear" w:color="auto" w:fill="auto"/>
            <w:vAlign w:val="center"/>
          </w:tcPr>
          <w:p w14:paraId="61B4D5B5"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717772B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56" w:type="dxa"/>
            <w:shd w:val="clear" w:color="auto" w:fill="auto"/>
            <w:vAlign w:val="center"/>
          </w:tcPr>
          <w:p w14:paraId="0E78E140"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70" w:type="dxa"/>
            <w:shd w:val="clear" w:color="auto" w:fill="auto"/>
            <w:vAlign w:val="center"/>
          </w:tcPr>
          <w:p w14:paraId="4E66170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r>
      <w:tr w:rsidR="00C5660D" w:rsidRPr="00925C57" w14:paraId="023AABB4" w14:textId="77777777" w:rsidTr="0079274B">
        <w:trPr>
          <w:jc w:val="center"/>
        </w:trPr>
        <w:tc>
          <w:tcPr>
            <w:tcW w:w="1400" w:type="dxa"/>
            <w:vMerge w:val="restart"/>
            <w:shd w:val="clear" w:color="auto" w:fill="auto"/>
            <w:vAlign w:val="center"/>
          </w:tcPr>
          <w:p w14:paraId="7D87519B"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Distribution</w:t>
            </w:r>
          </w:p>
        </w:tc>
        <w:tc>
          <w:tcPr>
            <w:tcW w:w="1836" w:type="dxa"/>
            <w:shd w:val="clear" w:color="auto" w:fill="auto"/>
            <w:vAlign w:val="center"/>
          </w:tcPr>
          <w:p w14:paraId="4B529B99"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VDss (human)</w:t>
            </w:r>
          </w:p>
        </w:tc>
        <w:tc>
          <w:tcPr>
            <w:tcW w:w="1656" w:type="dxa"/>
            <w:shd w:val="clear" w:color="auto" w:fill="auto"/>
            <w:vAlign w:val="center"/>
          </w:tcPr>
          <w:p w14:paraId="3B2812D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log L/kg</w:t>
            </w:r>
          </w:p>
        </w:tc>
        <w:tc>
          <w:tcPr>
            <w:tcW w:w="810" w:type="dxa"/>
            <w:shd w:val="clear" w:color="auto" w:fill="auto"/>
            <w:vAlign w:val="center"/>
          </w:tcPr>
          <w:p w14:paraId="0B67051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0.04</w:t>
            </w:r>
          </w:p>
        </w:tc>
        <w:tc>
          <w:tcPr>
            <w:tcW w:w="695" w:type="dxa"/>
            <w:shd w:val="clear" w:color="auto" w:fill="auto"/>
            <w:vAlign w:val="center"/>
          </w:tcPr>
          <w:p w14:paraId="0A3C08EC"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-0.08</w:t>
            </w:r>
          </w:p>
        </w:tc>
        <w:tc>
          <w:tcPr>
            <w:tcW w:w="670" w:type="dxa"/>
            <w:shd w:val="clear" w:color="auto" w:fill="auto"/>
            <w:vAlign w:val="center"/>
          </w:tcPr>
          <w:p w14:paraId="3C2F01F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-0.03</w:t>
            </w:r>
          </w:p>
        </w:tc>
        <w:tc>
          <w:tcPr>
            <w:tcW w:w="695" w:type="dxa"/>
            <w:shd w:val="clear" w:color="auto" w:fill="auto"/>
            <w:vAlign w:val="center"/>
          </w:tcPr>
          <w:p w14:paraId="726BAF2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-0.2</w:t>
            </w:r>
          </w:p>
        </w:tc>
        <w:tc>
          <w:tcPr>
            <w:tcW w:w="756" w:type="dxa"/>
            <w:shd w:val="clear" w:color="auto" w:fill="auto"/>
            <w:vAlign w:val="center"/>
          </w:tcPr>
          <w:p w14:paraId="282B7B7B"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-0.002</w:t>
            </w:r>
          </w:p>
        </w:tc>
        <w:tc>
          <w:tcPr>
            <w:tcW w:w="770" w:type="dxa"/>
            <w:shd w:val="clear" w:color="auto" w:fill="auto"/>
            <w:vAlign w:val="center"/>
          </w:tcPr>
          <w:p w14:paraId="272CF18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-0.2</w:t>
            </w:r>
          </w:p>
        </w:tc>
      </w:tr>
      <w:tr w:rsidR="00C5660D" w:rsidRPr="00925C57" w14:paraId="23C5A20A" w14:textId="77777777" w:rsidTr="0079274B">
        <w:trPr>
          <w:jc w:val="center"/>
        </w:trPr>
        <w:tc>
          <w:tcPr>
            <w:tcW w:w="1400" w:type="dxa"/>
            <w:vMerge/>
            <w:shd w:val="clear" w:color="auto" w:fill="auto"/>
            <w:vAlign w:val="center"/>
          </w:tcPr>
          <w:p w14:paraId="1FD9BBD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p>
        </w:tc>
        <w:tc>
          <w:tcPr>
            <w:tcW w:w="1836" w:type="dxa"/>
            <w:shd w:val="clear" w:color="auto" w:fill="auto"/>
            <w:vAlign w:val="center"/>
          </w:tcPr>
          <w:p w14:paraId="7F07B0FF"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Fraction unbound (human)</w:t>
            </w:r>
          </w:p>
        </w:tc>
        <w:tc>
          <w:tcPr>
            <w:tcW w:w="1656" w:type="dxa"/>
            <w:shd w:val="clear" w:color="auto" w:fill="auto"/>
            <w:vAlign w:val="center"/>
          </w:tcPr>
          <w:p w14:paraId="651E1694"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 xml:space="preserve"> Fu</w:t>
            </w:r>
          </w:p>
        </w:tc>
        <w:tc>
          <w:tcPr>
            <w:tcW w:w="810" w:type="dxa"/>
            <w:shd w:val="clear" w:color="auto" w:fill="auto"/>
            <w:vAlign w:val="center"/>
          </w:tcPr>
          <w:p w14:paraId="4E5513F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0.6</w:t>
            </w:r>
          </w:p>
        </w:tc>
        <w:tc>
          <w:tcPr>
            <w:tcW w:w="695" w:type="dxa"/>
            <w:shd w:val="clear" w:color="auto" w:fill="auto"/>
            <w:vAlign w:val="center"/>
          </w:tcPr>
          <w:p w14:paraId="30ECC427"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0.4</w:t>
            </w:r>
          </w:p>
        </w:tc>
        <w:tc>
          <w:tcPr>
            <w:tcW w:w="670" w:type="dxa"/>
            <w:shd w:val="clear" w:color="auto" w:fill="auto"/>
            <w:vAlign w:val="center"/>
          </w:tcPr>
          <w:p w14:paraId="062DCD9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0.4</w:t>
            </w:r>
          </w:p>
        </w:tc>
        <w:tc>
          <w:tcPr>
            <w:tcW w:w="695" w:type="dxa"/>
            <w:shd w:val="clear" w:color="auto" w:fill="auto"/>
            <w:vAlign w:val="center"/>
          </w:tcPr>
          <w:p w14:paraId="2634968F"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0.4</w:t>
            </w:r>
          </w:p>
        </w:tc>
        <w:tc>
          <w:tcPr>
            <w:tcW w:w="756" w:type="dxa"/>
            <w:shd w:val="clear" w:color="auto" w:fill="auto"/>
            <w:vAlign w:val="center"/>
          </w:tcPr>
          <w:p w14:paraId="4A80C61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0.4</w:t>
            </w:r>
          </w:p>
        </w:tc>
        <w:tc>
          <w:tcPr>
            <w:tcW w:w="770" w:type="dxa"/>
            <w:shd w:val="clear" w:color="auto" w:fill="auto"/>
            <w:vAlign w:val="center"/>
          </w:tcPr>
          <w:p w14:paraId="493C278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0.9</w:t>
            </w:r>
          </w:p>
        </w:tc>
      </w:tr>
      <w:tr w:rsidR="00C5660D" w:rsidRPr="00925C57" w14:paraId="1F46C787" w14:textId="77777777" w:rsidTr="0079274B">
        <w:trPr>
          <w:jc w:val="center"/>
        </w:trPr>
        <w:tc>
          <w:tcPr>
            <w:tcW w:w="1400" w:type="dxa"/>
            <w:vMerge/>
            <w:shd w:val="clear" w:color="auto" w:fill="auto"/>
            <w:vAlign w:val="center"/>
          </w:tcPr>
          <w:p w14:paraId="6FE6295B"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p>
        </w:tc>
        <w:tc>
          <w:tcPr>
            <w:tcW w:w="1836" w:type="dxa"/>
            <w:shd w:val="clear" w:color="auto" w:fill="auto"/>
            <w:vAlign w:val="center"/>
          </w:tcPr>
          <w:p w14:paraId="6BCD6C1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BBB permeability</w:t>
            </w:r>
          </w:p>
        </w:tc>
        <w:tc>
          <w:tcPr>
            <w:tcW w:w="1656" w:type="dxa"/>
            <w:shd w:val="clear" w:color="auto" w:fill="auto"/>
            <w:vAlign w:val="center"/>
          </w:tcPr>
          <w:p w14:paraId="42B874B7"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 xml:space="preserve"> log BB</w:t>
            </w:r>
          </w:p>
        </w:tc>
        <w:tc>
          <w:tcPr>
            <w:tcW w:w="810" w:type="dxa"/>
            <w:shd w:val="clear" w:color="auto" w:fill="auto"/>
            <w:vAlign w:val="center"/>
          </w:tcPr>
          <w:p w14:paraId="39625989"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-0.7</w:t>
            </w:r>
          </w:p>
        </w:tc>
        <w:tc>
          <w:tcPr>
            <w:tcW w:w="695" w:type="dxa"/>
            <w:shd w:val="clear" w:color="auto" w:fill="auto"/>
            <w:vAlign w:val="center"/>
          </w:tcPr>
          <w:p w14:paraId="0D11BA6F"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-1.2</w:t>
            </w:r>
          </w:p>
        </w:tc>
        <w:tc>
          <w:tcPr>
            <w:tcW w:w="670" w:type="dxa"/>
            <w:shd w:val="clear" w:color="auto" w:fill="auto"/>
            <w:vAlign w:val="center"/>
          </w:tcPr>
          <w:p w14:paraId="7C29E9BF"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-1.1</w:t>
            </w:r>
          </w:p>
        </w:tc>
        <w:tc>
          <w:tcPr>
            <w:tcW w:w="695" w:type="dxa"/>
            <w:shd w:val="clear" w:color="auto" w:fill="auto"/>
            <w:vAlign w:val="center"/>
          </w:tcPr>
          <w:p w14:paraId="6EF931C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-1.2</w:t>
            </w:r>
          </w:p>
        </w:tc>
        <w:tc>
          <w:tcPr>
            <w:tcW w:w="756" w:type="dxa"/>
            <w:shd w:val="clear" w:color="auto" w:fill="auto"/>
            <w:vAlign w:val="center"/>
          </w:tcPr>
          <w:p w14:paraId="68F7A6FC"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-0.7</w:t>
            </w:r>
          </w:p>
        </w:tc>
        <w:tc>
          <w:tcPr>
            <w:tcW w:w="770" w:type="dxa"/>
            <w:shd w:val="clear" w:color="auto" w:fill="auto"/>
            <w:vAlign w:val="center"/>
          </w:tcPr>
          <w:p w14:paraId="7FCE0FF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-1.5</w:t>
            </w:r>
          </w:p>
        </w:tc>
      </w:tr>
      <w:tr w:rsidR="00C5660D" w:rsidRPr="00925C57" w14:paraId="6309F748" w14:textId="77777777" w:rsidTr="0079274B">
        <w:trPr>
          <w:jc w:val="center"/>
        </w:trPr>
        <w:tc>
          <w:tcPr>
            <w:tcW w:w="1400" w:type="dxa"/>
            <w:vMerge/>
            <w:shd w:val="clear" w:color="auto" w:fill="auto"/>
            <w:vAlign w:val="center"/>
          </w:tcPr>
          <w:p w14:paraId="79614F65"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p>
        </w:tc>
        <w:tc>
          <w:tcPr>
            <w:tcW w:w="1836" w:type="dxa"/>
            <w:shd w:val="clear" w:color="auto" w:fill="auto"/>
            <w:vAlign w:val="center"/>
          </w:tcPr>
          <w:p w14:paraId="252FCF3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CNS permeability</w:t>
            </w:r>
          </w:p>
        </w:tc>
        <w:tc>
          <w:tcPr>
            <w:tcW w:w="1656" w:type="dxa"/>
            <w:shd w:val="clear" w:color="auto" w:fill="auto"/>
            <w:vAlign w:val="center"/>
          </w:tcPr>
          <w:p w14:paraId="362DAF8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log PS</w:t>
            </w:r>
          </w:p>
        </w:tc>
        <w:tc>
          <w:tcPr>
            <w:tcW w:w="810" w:type="dxa"/>
            <w:shd w:val="clear" w:color="auto" w:fill="auto"/>
            <w:vAlign w:val="center"/>
          </w:tcPr>
          <w:p w14:paraId="11B37E2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-3.1</w:t>
            </w:r>
          </w:p>
        </w:tc>
        <w:tc>
          <w:tcPr>
            <w:tcW w:w="695" w:type="dxa"/>
            <w:shd w:val="clear" w:color="auto" w:fill="auto"/>
            <w:vAlign w:val="center"/>
          </w:tcPr>
          <w:p w14:paraId="2DFB42CF"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-4.7</w:t>
            </w:r>
          </w:p>
        </w:tc>
        <w:tc>
          <w:tcPr>
            <w:tcW w:w="670" w:type="dxa"/>
            <w:shd w:val="clear" w:color="auto" w:fill="auto"/>
            <w:vAlign w:val="center"/>
          </w:tcPr>
          <w:p w14:paraId="1B3ED239"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-4.4</w:t>
            </w:r>
          </w:p>
        </w:tc>
        <w:tc>
          <w:tcPr>
            <w:tcW w:w="695" w:type="dxa"/>
            <w:shd w:val="clear" w:color="auto" w:fill="auto"/>
            <w:vAlign w:val="center"/>
          </w:tcPr>
          <w:p w14:paraId="5413921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-4.4</w:t>
            </w:r>
          </w:p>
        </w:tc>
        <w:tc>
          <w:tcPr>
            <w:tcW w:w="756" w:type="dxa"/>
            <w:shd w:val="clear" w:color="auto" w:fill="auto"/>
            <w:vAlign w:val="center"/>
          </w:tcPr>
          <w:p w14:paraId="0DD7B3A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-4.0</w:t>
            </w:r>
          </w:p>
        </w:tc>
        <w:tc>
          <w:tcPr>
            <w:tcW w:w="770" w:type="dxa"/>
            <w:shd w:val="clear" w:color="auto" w:fill="auto"/>
            <w:vAlign w:val="center"/>
          </w:tcPr>
          <w:p w14:paraId="2714C65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-4.8</w:t>
            </w:r>
          </w:p>
        </w:tc>
      </w:tr>
      <w:tr w:rsidR="00C5660D" w:rsidRPr="00925C57" w14:paraId="7B73FCB1" w14:textId="77777777" w:rsidTr="0079274B">
        <w:trPr>
          <w:jc w:val="center"/>
        </w:trPr>
        <w:tc>
          <w:tcPr>
            <w:tcW w:w="1400" w:type="dxa"/>
            <w:vMerge w:val="restart"/>
            <w:shd w:val="clear" w:color="auto" w:fill="auto"/>
            <w:vAlign w:val="center"/>
          </w:tcPr>
          <w:p w14:paraId="106072C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Metabolism</w:t>
            </w:r>
          </w:p>
        </w:tc>
        <w:tc>
          <w:tcPr>
            <w:tcW w:w="1836" w:type="dxa"/>
            <w:shd w:val="clear" w:color="auto" w:fill="auto"/>
            <w:vAlign w:val="center"/>
          </w:tcPr>
          <w:p w14:paraId="5F200C2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CYP2D6 substrate</w:t>
            </w:r>
          </w:p>
        </w:tc>
        <w:tc>
          <w:tcPr>
            <w:tcW w:w="1656" w:type="dxa"/>
            <w:shd w:val="clear" w:color="auto" w:fill="auto"/>
            <w:vAlign w:val="center"/>
          </w:tcPr>
          <w:p w14:paraId="6B7F9939"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Yes/No</w:t>
            </w:r>
          </w:p>
        </w:tc>
        <w:tc>
          <w:tcPr>
            <w:tcW w:w="810" w:type="dxa"/>
            <w:shd w:val="clear" w:color="auto" w:fill="auto"/>
            <w:vAlign w:val="center"/>
          </w:tcPr>
          <w:p w14:paraId="1926041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62788F4B"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70" w:type="dxa"/>
            <w:shd w:val="clear" w:color="auto" w:fill="auto"/>
            <w:vAlign w:val="center"/>
          </w:tcPr>
          <w:p w14:paraId="461E2A61"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0E4CA7E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56" w:type="dxa"/>
            <w:shd w:val="clear" w:color="auto" w:fill="auto"/>
            <w:vAlign w:val="center"/>
          </w:tcPr>
          <w:p w14:paraId="2DD2FD0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70" w:type="dxa"/>
            <w:shd w:val="clear" w:color="auto" w:fill="auto"/>
            <w:vAlign w:val="center"/>
          </w:tcPr>
          <w:p w14:paraId="1241A56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r>
      <w:tr w:rsidR="00C5660D" w:rsidRPr="00925C57" w14:paraId="2780A562" w14:textId="77777777" w:rsidTr="0079274B">
        <w:trPr>
          <w:jc w:val="center"/>
        </w:trPr>
        <w:tc>
          <w:tcPr>
            <w:tcW w:w="1400" w:type="dxa"/>
            <w:vMerge/>
            <w:shd w:val="clear" w:color="auto" w:fill="auto"/>
            <w:vAlign w:val="center"/>
          </w:tcPr>
          <w:p w14:paraId="2BB2180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p>
        </w:tc>
        <w:tc>
          <w:tcPr>
            <w:tcW w:w="1836" w:type="dxa"/>
            <w:shd w:val="clear" w:color="auto" w:fill="auto"/>
            <w:vAlign w:val="center"/>
          </w:tcPr>
          <w:p w14:paraId="6A51670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CYP3A4 substrate</w:t>
            </w:r>
          </w:p>
        </w:tc>
        <w:tc>
          <w:tcPr>
            <w:tcW w:w="1656" w:type="dxa"/>
            <w:shd w:val="clear" w:color="auto" w:fill="auto"/>
            <w:vAlign w:val="center"/>
          </w:tcPr>
          <w:p w14:paraId="4FEACCF0"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Yes/No</w:t>
            </w:r>
          </w:p>
        </w:tc>
        <w:tc>
          <w:tcPr>
            <w:tcW w:w="810" w:type="dxa"/>
            <w:shd w:val="clear" w:color="auto" w:fill="auto"/>
            <w:vAlign w:val="center"/>
          </w:tcPr>
          <w:p w14:paraId="7DC4F90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0891E287"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70" w:type="dxa"/>
            <w:shd w:val="clear" w:color="auto" w:fill="auto"/>
            <w:vAlign w:val="center"/>
          </w:tcPr>
          <w:p w14:paraId="5FAC010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64B034EB"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56" w:type="dxa"/>
            <w:shd w:val="clear" w:color="auto" w:fill="auto"/>
            <w:vAlign w:val="center"/>
          </w:tcPr>
          <w:p w14:paraId="56EB113B"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70" w:type="dxa"/>
            <w:shd w:val="clear" w:color="auto" w:fill="auto"/>
            <w:vAlign w:val="center"/>
          </w:tcPr>
          <w:p w14:paraId="1300F9E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r>
      <w:tr w:rsidR="00C5660D" w:rsidRPr="00925C57" w14:paraId="0D431B6A" w14:textId="77777777" w:rsidTr="0079274B">
        <w:trPr>
          <w:jc w:val="center"/>
        </w:trPr>
        <w:tc>
          <w:tcPr>
            <w:tcW w:w="1400" w:type="dxa"/>
            <w:vMerge/>
            <w:shd w:val="clear" w:color="auto" w:fill="auto"/>
            <w:vAlign w:val="center"/>
          </w:tcPr>
          <w:p w14:paraId="0D55617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p>
        </w:tc>
        <w:tc>
          <w:tcPr>
            <w:tcW w:w="1836" w:type="dxa"/>
            <w:shd w:val="clear" w:color="auto" w:fill="auto"/>
            <w:vAlign w:val="center"/>
          </w:tcPr>
          <w:p w14:paraId="1F89DDC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CYP1A2 inhibitior</w:t>
            </w:r>
          </w:p>
        </w:tc>
        <w:tc>
          <w:tcPr>
            <w:tcW w:w="1656" w:type="dxa"/>
            <w:shd w:val="clear" w:color="auto" w:fill="auto"/>
            <w:vAlign w:val="center"/>
          </w:tcPr>
          <w:p w14:paraId="070E5F02"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Yes/No</w:t>
            </w:r>
          </w:p>
        </w:tc>
        <w:tc>
          <w:tcPr>
            <w:tcW w:w="810" w:type="dxa"/>
            <w:shd w:val="clear" w:color="auto" w:fill="auto"/>
            <w:vAlign w:val="center"/>
          </w:tcPr>
          <w:p w14:paraId="4D5F9449"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66C8961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70" w:type="dxa"/>
            <w:shd w:val="clear" w:color="auto" w:fill="auto"/>
            <w:vAlign w:val="center"/>
          </w:tcPr>
          <w:p w14:paraId="383243C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7B5ED9D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56" w:type="dxa"/>
            <w:shd w:val="clear" w:color="auto" w:fill="auto"/>
            <w:vAlign w:val="center"/>
          </w:tcPr>
          <w:p w14:paraId="00D82849"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70" w:type="dxa"/>
            <w:shd w:val="clear" w:color="auto" w:fill="auto"/>
            <w:vAlign w:val="center"/>
          </w:tcPr>
          <w:p w14:paraId="7F8E32E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r>
      <w:tr w:rsidR="00C5660D" w:rsidRPr="00925C57" w14:paraId="3482E510" w14:textId="77777777" w:rsidTr="0079274B">
        <w:trPr>
          <w:jc w:val="center"/>
        </w:trPr>
        <w:tc>
          <w:tcPr>
            <w:tcW w:w="1400" w:type="dxa"/>
            <w:vMerge/>
            <w:shd w:val="clear" w:color="auto" w:fill="auto"/>
            <w:vAlign w:val="center"/>
          </w:tcPr>
          <w:p w14:paraId="627F7491"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p>
        </w:tc>
        <w:tc>
          <w:tcPr>
            <w:tcW w:w="1836" w:type="dxa"/>
            <w:shd w:val="clear" w:color="auto" w:fill="auto"/>
            <w:vAlign w:val="center"/>
          </w:tcPr>
          <w:p w14:paraId="4EA7CE52"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CYP2C19 inhibitior</w:t>
            </w:r>
          </w:p>
        </w:tc>
        <w:tc>
          <w:tcPr>
            <w:tcW w:w="1656" w:type="dxa"/>
            <w:shd w:val="clear" w:color="auto" w:fill="auto"/>
            <w:vAlign w:val="center"/>
          </w:tcPr>
          <w:p w14:paraId="16A2EBF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Yes/No</w:t>
            </w:r>
          </w:p>
        </w:tc>
        <w:tc>
          <w:tcPr>
            <w:tcW w:w="810" w:type="dxa"/>
            <w:shd w:val="clear" w:color="auto" w:fill="auto"/>
            <w:vAlign w:val="center"/>
          </w:tcPr>
          <w:p w14:paraId="03443EB4"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6C26212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70" w:type="dxa"/>
            <w:shd w:val="clear" w:color="auto" w:fill="auto"/>
            <w:vAlign w:val="center"/>
          </w:tcPr>
          <w:p w14:paraId="0DD3DED9"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1418DC10"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56" w:type="dxa"/>
            <w:shd w:val="clear" w:color="auto" w:fill="auto"/>
            <w:vAlign w:val="center"/>
          </w:tcPr>
          <w:p w14:paraId="18BF1241"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70" w:type="dxa"/>
            <w:shd w:val="clear" w:color="auto" w:fill="auto"/>
            <w:vAlign w:val="center"/>
          </w:tcPr>
          <w:p w14:paraId="752C032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r>
      <w:tr w:rsidR="00C5660D" w:rsidRPr="00925C57" w14:paraId="163CB3C9" w14:textId="77777777" w:rsidTr="0079274B">
        <w:trPr>
          <w:jc w:val="center"/>
        </w:trPr>
        <w:tc>
          <w:tcPr>
            <w:tcW w:w="1400" w:type="dxa"/>
            <w:vMerge/>
            <w:shd w:val="clear" w:color="auto" w:fill="auto"/>
            <w:vAlign w:val="center"/>
          </w:tcPr>
          <w:p w14:paraId="1C9A5947"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p>
        </w:tc>
        <w:tc>
          <w:tcPr>
            <w:tcW w:w="1836" w:type="dxa"/>
            <w:shd w:val="clear" w:color="auto" w:fill="auto"/>
            <w:vAlign w:val="center"/>
          </w:tcPr>
          <w:p w14:paraId="685FB0B0"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CYP2C9 inhibitior</w:t>
            </w:r>
          </w:p>
        </w:tc>
        <w:tc>
          <w:tcPr>
            <w:tcW w:w="1656" w:type="dxa"/>
            <w:shd w:val="clear" w:color="auto" w:fill="auto"/>
            <w:vAlign w:val="center"/>
          </w:tcPr>
          <w:p w14:paraId="3A0A3D1C"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Yes/No</w:t>
            </w:r>
          </w:p>
        </w:tc>
        <w:tc>
          <w:tcPr>
            <w:tcW w:w="810" w:type="dxa"/>
            <w:shd w:val="clear" w:color="auto" w:fill="auto"/>
            <w:vAlign w:val="center"/>
          </w:tcPr>
          <w:p w14:paraId="35D7279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1A16FCE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70" w:type="dxa"/>
            <w:shd w:val="clear" w:color="auto" w:fill="auto"/>
            <w:vAlign w:val="center"/>
          </w:tcPr>
          <w:p w14:paraId="7EF158CC"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0BE8885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56" w:type="dxa"/>
            <w:shd w:val="clear" w:color="auto" w:fill="auto"/>
            <w:vAlign w:val="center"/>
          </w:tcPr>
          <w:p w14:paraId="72C4342B"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70" w:type="dxa"/>
            <w:shd w:val="clear" w:color="auto" w:fill="auto"/>
            <w:vAlign w:val="center"/>
          </w:tcPr>
          <w:p w14:paraId="6C12546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r>
      <w:tr w:rsidR="00C5660D" w:rsidRPr="00925C57" w14:paraId="59E66E9C" w14:textId="77777777" w:rsidTr="0079274B">
        <w:trPr>
          <w:jc w:val="center"/>
        </w:trPr>
        <w:tc>
          <w:tcPr>
            <w:tcW w:w="1400" w:type="dxa"/>
            <w:vMerge/>
            <w:shd w:val="clear" w:color="auto" w:fill="auto"/>
            <w:vAlign w:val="center"/>
          </w:tcPr>
          <w:p w14:paraId="31C9DAB2"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p>
        </w:tc>
        <w:tc>
          <w:tcPr>
            <w:tcW w:w="1836" w:type="dxa"/>
            <w:shd w:val="clear" w:color="auto" w:fill="auto"/>
            <w:vAlign w:val="center"/>
          </w:tcPr>
          <w:p w14:paraId="27D7ACB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CYP2D6 inhibitior</w:t>
            </w:r>
          </w:p>
        </w:tc>
        <w:tc>
          <w:tcPr>
            <w:tcW w:w="1656" w:type="dxa"/>
            <w:shd w:val="clear" w:color="auto" w:fill="auto"/>
            <w:vAlign w:val="center"/>
          </w:tcPr>
          <w:p w14:paraId="180AB2D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Yes/No</w:t>
            </w:r>
          </w:p>
        </w:tc>
        <w:tc>
          <w:tcPr>
            <w:tcW w:w="810" w:type="dxa"/>
            <w:shd w:val="clear" w:color="auto" w:fill="auto"/>
            <w:vAlign w:val="center"/>
          </w:tcPr>
          <w:p w14:paraId="6D7BB65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3E0E6E49"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70" w:type="dxa"/>
            <w:shd w:val="clear" w:color="auto" w:fill="auto"/>
            <w:vAlign w:val="center"/>
          </w:tcPr>
          <w:p w14:paraId="4AA9C22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6D8A57F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56" w:type="dxa"/>
            <w:shd w:val="clear" w:color="auto" w:fill="auto"/>
            <w:vAlign w:val="center"/>
          </w:tcPr>
          <w:p w14:paraId="6F5E6E7B"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70" w:type="dxa"/>
            <w:shd w:val="clear" w:color="auto" w:fill="auto"/>
            <w:vAlign w:val="center"/>
          </w:tcPr>
          <w:p w14:paraId="14C16257"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r>
      <w:tr w:rsidR="00C5660D" w:rsidRPr="00925C57" w14:paraId="177FD896" w14:textId="77777777" w:rsidTr="0079274B">
        <w:trPr>
          <w:jc w:val="center"/>
        </w:trPr>
        <w:tc>
          <w:tcPr>
            <w:tcW w:w="1400" w:type="dxa"/>
            <w:vMerge/>
            <w:shd w:val="clear" w:color="auto" w:fill="auto"/>
            <w:vAlign w:val="center"/>
          </w:tcPr>
          <w:p w14:paraId="782E29B0"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p>
        </w:tc>
        <w:tc>
          <w:tcPr>
            <w:tcW w:w="1836" w:type="dxa"/>
            <w:shd w:val="clear" w:color="auto" w:fill="auto"/>
            <w:vAlign w:val="center"/>
          </w:tcPr>
          <w:p w14:paraId="1E024F0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CYP3A4 inhibitior</w:t>
            </w:r>
          </w:p>
        </w:tc>
        <w:tc>
          <w:tcPr>
            <w:tcW w:w="1656" w:type="dxa"/>
            <w:shd w:val="clear" w:color="auto" w:fill="auto"/>
            <w:vAlign w:val="center"/>
          </w:tcPr>
          <w:p w14:paraId="599EB6C1"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Yes/No</w:t>
            </w:r>
          </w:p>
        </w:tc>
        <w:tc>
          <w:tcPr>
            <w:tcW w:w="810" w:type="dxa"/>
            <w:shd w:val="clear" w:color="auto" w:fill="auto"/>
            <w:vAlign w:val="center"/>
          </w:tcPr>
          <w:p w14:paraId="38D5E394"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008879F7"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70" w:type="dxa"/>
            <w:shd w:val="clear" w:color="auto" w:fill="auto"/>
            <w:vAlign w:val="center"/>
          </w:tcPr>
          <w:p w14:paraId="0EBB9A01"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4E0FBE5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56" w:type="dxa"/>
            <w:shd w:val="clear" w:color="auto" w:fill="auto"/>
            <w:vAlign w:val="center"/>
          </w:tcPr>
          <w:p w14:paraId="4D066B8F"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70" w:type="dxa"/>
            <w:shd w:val="clear" w:color="auto" w:fill="auto"/>
            <w:vAlign w:val="center"/>
          </w:tcPr>
          <w:p w14:paraId="0A591B7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r>
      <w:tr w:rsidR="00C5660D" w:rsidRPr="00925C57" w14:paraId="379515A4" w14:textId="77777777" w:rsidTr="0079274B">
        <w:trPr>
          <w:jc w:val="center"/>
        </w:trPr>
        <w:tc>
          <w:tcPr>
            <w:tcW w:w="1400" w:type="dxa"/>
            <w:vMerge w:val="restart"/>
            <w:shd w:val="clear" w:color="auto" w:fill="auto"/>
            <w:vAlign w:val="center"/>
          </w:tcPr>
          <w:p w14:paraId="1EA4ADF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Excretion</w:t>
            </w:r>
          </w:p>
        </w:tc>
        <w:tc>
          <w:tcPr>
            <w:tcW w:w="1836" w:type="dxa"/>
            <w:shd w:val="clear" w:color="auto" w:fill="auto"/>
            <w:vAlign w:val="center"/>
          </w:tcPr>
          <w:p w14:paraId="2EB37EE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Total Clearance</w:t>
            </w:r>
          </w:p>
        </w:tc>
        <w:tc>
          <w:tcPr>
            <w:tcW w:w="1656" w:type="dxa"/>
            <w:shd w:val="clear" w:color="auto" w:fill="auto"/>
            <w:vAlign w:val="center"/>
          </w:tcPr>
          <w:p w14:paraId="371936E5"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log ml/min/kg</w:t>
            </w:r>
          </w:p>
        </w:tc>
        <w:tc>
          <w:tcPr>
            <w:tcW w:w="810" w:type="dxa"/>
            <w:shd w:val="clear" w:color="auto" w:fill="auto"/>
            <w:vAlign w:val="center"/>
          </w:tcPr>
          <w:p w14:paraId="5D5BBF2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0.9</w:t>
            </w:r>
          </w:p>
        </w:tc>
        <w:tc>
          <w:tcPr>
            <w:tcW w:w="695" w:type="dxa"/>
            <w:shd w:val="clear" w:color="auto" w:fill="auto"/>
            <w:vAlign w:val="center"/>
          </w:tcPr>
          <w:p w14:paraId="23C09AA7"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0.3</w:t>
            </w:r>
          </w:p>
        </w:tc>
        <w:tc>
          <w:tcPr>
            <w:tcW w:w="670" w:type="dxa"/>
            <w:shd w:val="clear" w:color="auto" w:fill="auto"/>
            <w:vAlign w:val="center"/>
          </w:tcPr>
          <w:p w14:paraId="2EF9B297"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-0.1</w:t>
            </w:r>
          </w:p>
        </w:tc>
        <w:tc>
          <w:tcPr>
            <w:tcW w:w="695" w:type="dxa"/>
            <w:shd w:val="clear" w:color="auto" w:fill="auto"/>
            <w:vAlign w:val="center"/>
          </w:tcPr>
          <w:p w14:paraId="3C450DF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0.4</w:t>
            </w:r>
          </w:p>
        </w:tc>
        <w:tc>
          <w:tcPr>
            <w:tcW w:w="756" w:type="dxa"/>
            <w:shd w:val="clear" w:color="auto" w:fill="auto"/>
            <w:vAlign w:val="center"/>
          </w:tcPr>
          <w:p w14:paraId="4036998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0.1</w:t>
            </w:r>
          </w:p>
        </w:tc>
        <w:tc>
          <w:tcPr>
            <w:tcW w:w="770" w:type="dxa"/>
            <w:shd w:val="clear" w:color="auto" w:fill="auto"/>
            <w:vAlign w:val="center"/>
          </w:tcPr>
          <w:p w14:paraId="09AC71C4"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1.3</w:t>
            </w:r>
          </w:p>
        </w:tc>
      </w:tr>
      <w:tr w:rsidR="00C5660D" w:rsidRPr="00925C57" w14:paraId="2C717902" w14:textId="77777777" w:rsidTr="0079274B">
        <w:trPr>
          <w:jc w:val="center"/>
        </w:trPr>
        <w:tc>
          <w:tcPr>
            <w:tcW w:w="1400" w:type="dxa"/>
            <w:vMerge/>
            <w:shd w:val="clear" w:color="auto" w:fill="auto"/>
            <w:vAlign w:val="center"/>
          </w:tcPr>
          <w:p w14:paraId="6D6BF93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p>
        </w:tc>
        <w:tc>
          <w:tcPr>
            <w:tcW w:w="1836" w:type="dxa"/>
            <w:shd w:val="clear" w:color="auto" w:fill="auto"/>
            <w:vAlign w:val="center"/>
          </w:tcPr>
          <w:p w14:paraId="62447524"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Renal OCT2 substrate</w:t>
            </w:r>
          </w:p>
        </w:tc>
        <w:tc>
          <w:tcPr>
            <w:tcW w:w="1656" w:type="dxa"/>
            <w:shd w:val="clear" w:color="auto" w:fill="auto"/>
            <w:vAlign w:val="center"/>
          </w:tcPr>
          <w:p w14:paraId="774ECEE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Yes/No</w:t>
            </w:r>
          </w:p>
        </w:tc>
        <w:tc>
          <w:tcPr>
            <w:tcW w:w="810" w:type="dxa"/>
            <w:shd w:val="clear" w:color="auto" w:fill="auto"/>
            <w:vAlign w:val="center"/>
          </w:tcPr>
          <w:p w14:paraId="2564522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14B175AC"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70" w:type="dxa"/>
            <w:shd w:val="clear" w:color="auto" w:fill="auto"/>
            <w:vAlign w:val="center"/>
          </w:tcPr>
          <w:p w14:paraId="76FBFB7B"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3BEBA022"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56" w:type="dxa"/>
            <w:shd w:val="clear" w:color="auto" w:fill="auto"/>
            <w:vAlign w:val="center"/>
          </w:tcPr>
          <w:p w14:paraId="596B1B55"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70" w:type="dxa"/>
            <w:shd w:val="clear" w:color="auto" w:fill="auto"/>
            <w:vAlign w:val="center"/>
          </w:tcPr>
          <w:p w14:paraId="7D0463B1"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r>
      <w:tr w:rsidR="00C5660D" w:rsidRPr="00925C57" w14:paraId="0754C856" w14:textId="77777777" w:rsidTr="0079274B">
        <w:trPr>
          <w:jc w:val="center"/>
        </w:trPr>
        <w:tc>
          <w:tcPr>
            <w:tcW w:w="1400" w:type="dxa"/>
            <w:vMerge w:val="restart"/>
            <w:shd w:val="clear" w:color="auto" w:fill="auto"/>
            <w:vAlign w:val="center"/>
          </w:tcPr>
          <w:p w14:paraId="183C175F"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Toxicity</w:t>
            </w:r>
          </w:p>
        </w:tc>
        <w:tc>
          <w:tcPr>
            <w:tcW w:w="1836" w:type="dxa"/>
            <w:shd w:val="clear" w:color="auto" w:fill="auto"/>
            <w:vAlign w:val="center"/>
          </w:tcPr>
          <w:p w14:paraId="54596297"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Ames toxicity</w:t>
            </w:r>
          </w:p>
        </w:tc>
        <w:tc>
          <w:tcPr>
            <w:tcW w:w="1656" w:type="dxa"/>
            <w:shd w:val="clear" w:color="auto" w:fill="auto"/>
            <w:vAlign w:val="center"/>
          </w:tcPr>
          <w:p w14:paraId="042814D9"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Yes/No</w:t>
            </w:r>
          </w:p>
        </w:tc>
        <w:tc>
          <w:tcPr>
            <w:tcW w:w="810" w:type="dxa"/>
            <w:shd w:val="clear" w:color="auto" w:fill="auto"/>
            <w:vAlign w:val="center"/>
          </w:tcPr>
          <w:p w14:paraId="10B48215"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77EF0A69"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70" w:type="dxa"/>
            <w:shd w:val="clear" w:color="auto" w:fill="auto"/>
            <w:vAlign w:val="center"/>
          </w:tcPr>
          <w:p w14:paraId="286F537C"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51E280E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56" w:type="dxa"/>
            <w:shd w:val="clear" w:color="auto" w:fill="auto"/>
            <w:vAlign w:val="center"/>
          </w:tcPr>
          <w:p w14:paraId="79781B5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w:t>
            </w:r>
          </w:p>
        </w:tc>
        <w:tc>
          <w:tcPr>
            <w:tcW w:w="770" w:type="dxa"/>
            <w:shd w:val="clear" w:color="auto" w:fill="auto"/>
            <w:vAlign w:val="center"/>
          </w:tcPr>
          <w:p w14:paraId="0FBE01B9"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r>
      <w:tr w:rsidR="00C5660D" w:rsidRPr="00925C57" w14:paraId="398D2169" w14:textId="77777777" w:rsidTr="0079274B">
        <w:trPr>
          <w:jc w:val="center"/>
        </w:trPr>
        <w:tc>
          <w:tcPr>
            <w:tcW w:w="1400" w:type="dxa"/>
            <w:vMerge/>
            <w:shd w:val="clear" w:color="auto" w:fill="auto"/>
            <w:vAlign w:val="center"/>
          </w:tcPr>
          <w:p w14:paraId="5A965293"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p>
        </w:tc>
        <w:tc>
          <w:tcPr>
            <w:tcW w:w="1836" w:type="dxa"/>
            <w:shd w:val="clear" w:color="auto" w:fill="auto"/>
            <w:vAlign w:val="center"/>
          </w:tcPr>
          <w:p w14:paraId="53EAA83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Max. tolerated dose (human)</w:t>
            </w:r>
          </w:p>
        </w:tc>
        <w:tc>
          <w:tcPr>
            <w:tcW w:w="1656" w:type="dxa"/>
            <w:shd w:val="clear" w:color="auto" w:fill="auto"/>
            <w:vAlign w:val="center"/>
          </w:tcPr>
          <w:p w14:paraId="6C45405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log mg/kg/day</w:t>
            </w:r>
          </w:p>
        </w:tc>
        <w:tc>
          <w:tcPr>
            <w:tcW w:w="810" w:type="dxa"/>
            <w:shd w:val="clear" w:color="auto" w:fill="auto"/>
            <w:vAlign w:val="center"/>
          </w:tcPr>
          <w:p w14:paraId="37C33AE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0.5</w:t>
            </w:r>
          </w:p>
        </w:tc>
        <w:tc>
          <w:tcPr>
            <w:tcW w:w="695" w:type="dxa"/>
            <w:shd w:val="clear" w:color="auto" w:fill="auto"/>
            <w:vAlign w:val="center"/>
          </w:tcPr>
          <w:p w14:paraId="57B87BC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0.4</w:t>
            </w:r>
          </w:p>
        </w:tc>
        <w:tc>
          <w:tcPr>
            <w:tcW w:w="670" w:type="dxa"/>
            <w:shd w:val="clear" w:color="auto" w:fill="auto"/>
            <w:vAlign w:val="center"/>
          </w:tcPr>
          <w:p w14:paraId="5B71476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0.4</w:t>
            </w:r>
          </w:p>
        </w:tc>
        <w:tc>
          <w:tcPr>
            <w:tcW w:w="695" w:type="dxa"/>
            <w:shd w:val="clear" w:color="auto" w:fill="auto"/>
            <w:vAlign w:val="center"/>
          </w:tcPr>
          <w:p w14:paraId="23CDFB0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0.5</w:t>
            </w:r>
          </w:p>
        </w:tc>
        <w:tc>
          <w:tcPr>
            <w:tcW w:w="756" w:type="dxa"/>
            <w:shd w:val="clear" w:color="auto" w:fill="auto"/>
            <w:vAlign w:val="center"/>
          </w:tcPr>
          <w:p w14:paraId="30246B5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0.4</w:t>
            </w:r>
          </w:p>
        </w:tc>
        <w:tc>
          <w:tcPr>
            <w:tcW w:w="770" w:type="dxa"/>
            <w:shd w:val="clear" w:color="auto" w:fill="auto"/>
            <w:vAlign w:val="center"/>
          </w:tcPr>
          <w:p w14:paraId="00362DF1"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0.6</w:t>
            </w:r>
          </w:p>
        </w:tc>
      </w:tr>
      <w:tr w:rsidR="00C5660D" w:rsidRPr="00925C57" w14:paraId="2B50E408" w14:textId="77777777" w:rsidTr="0079274B">
        <w:trPr>
          <w:jc w:val="center"/>
        </w:trPr>
        <w:tc>
          <w:tcPr>
            <w:tcW w:w="1400" w:type="dxa"/>
            <w:vMerge/>
            <w:shd w:val="clear" w:color="auto" w:fill="auto"/>
            <w:vAlign w:val="center"/>
          </w:tcPr>
          <w:p w14:paraId="76478F16"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p>
        </w:tc>
        <w:tc>
          <w:tcPr>
            <w:tcW w:w="1836" w:type="dxa"/>
            <w:shd w:val="clear" w:color="auto" w:fill="auto"/>
            <w:vAlign w:val="center"/>
          </w:tcPr>
          <w:p w14:paraId="32493455"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hERG I inhibitor</w:t>
            </w:r>
          </w:p>
        </w:tc>
        <w:tc>
          <w:tcPr>
            <w:tcW w:w="1656" w:type="dxa"/>
            <w:shd w:val="clear" w:color="auto" w:fill="auto"/>
            <w:vAlign w:val="center"/>
          </w:tcPr>
          <w:p w14:paraId="3D6965B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Yes/No</w:t>
            </w:r>
          </w:p>
        </w:tc>
        <w:tc>
          <w:tcPr>
            <w:tcW w:w="810" w:type="dxa"/>
            <w:shd w:val="clear" w:color="auto" w:fill="auto"/>
            <w:vAlign w:val="center"/>
          </w:tcPr>
          <w:p w14:paraId="0F70DABB"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7783EDF4"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70" w:type="dxa"/>
            <w:shd w:val="clear" w:color="auto" w:fill="auto"/>
            <w:vAlign w:val="center"/>
          </w:tcPr>
          <w:p w14:paraId="1B4CA86C"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66E5F799"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56" w:type="dxa"/>
            <w:shd w:val="clear" w:color="auto" w:fill="auto"/>
            <w:vAlign w:val="center"/>
          </w:tcPr>
          <w:p w14:paraId="1F58838C"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70" w:type="dxa"/>
            <w:shd w:val="clear" w:color="auto" w:fill="auto"/>
            <w:vAlign w:val="center"/>
          </w:tcPr>
          <w:p w14:paraId="21BB58F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r>
      <w:tr w:rsidR="00C5660D" w:rsidRPr="00925C57" w14:paraId="15EA93E8" w14:textId="77777777" w:rsidTr="0079274B">
        <w:trPr>
          <w:jc w:val="center"/>
        </w:trPr>
        <w:tc>
          <w:tcPr>
            <w:tcW w:w="1400" w:type="dxa"/>
            <w:vMerge/>
            <w:shd w:val="clear" w:color="auto" w:fill="auto"/>
            <w:vAlign w:val="center"/>
          </w:tcPr>
          <w:p w14:paraId="5948DAC0"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p>
        </w:tc>
        <w:tc>
          <w:tcPr>
            <w:tcW w:w="1836" w:type="dxa"/>
            <w:shd w:val="clear" w:color="auto" w:fill="auto"/>
            <w:vAlign w:val="center"/>
          </w:tcPr>
          <w:p w14:paraId="5AFCDB67"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hERG II inhibitor</w:t>
            </w:r>
          </w:p>
        </w:tc>
        <w:tc>
          <w:tcPr>
            <w:tcW w:w="1656" w:type="dxa"/>
            <w:shd w:val="clear" w:color="auto" w:fill="auto"/>
            <w:vAlign w:val="center"/>
          </w:tcPr>
          <w:p w14:paraId="3179EE9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Yes/No</w:t>
            </w:r>
          </w:p>
        </w:tc>
        <w:tc>
          <w:tcPr>
            <w:tcW w:w="810" w:type="dxa"/>
            <w:shd w:val="clear" w:color="auto" w:fill="auto"/>
            <w:vAlign w:val="center"/>
          </w:tcPr>
          <w:p w14:paraId="2DC2C71C"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245D561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70" w:type="dxa"/>
            <w:shd w:val="clear" w:color="auto" w:fill="auto"/>
            <w:vAlign w:val="center"/>
          </w:tcPr>
          <w:p w14:paraId="2BBD6151"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1B4B1E8B"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56" w:type="dxa"/>
            <w:shd w:val="clear" w:color="auto" w:fill="auto"/>
            <w:vAlign w:val="center"/>
          </w:tcPr>
          <w:p w14:paraId="2BDF843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70" w:type="dxa"/>
            <w:shd w:val="clear" w:color="auto" w:fill="auto"/>
            <w:vAlign w:val="center"/>
          </w:tcPr>
          <w:p w14:paraId="38E074B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r>
      <w:tr w:rsidR="00C5660D" w:rsidRPr="00925C57" w14:paraId="17B6C9E2" w14:textId="77777777" w:rsidTr="0079274B">
        <w:trPr>
          <w:jc w:val="center"/>
        </w:trPr>
        <w:tc>
          <w:tcPr>
            <w:tcW w:w="1400" w:type="dxa"/>
            <w:vMerge/>
            <w:shd w:val="clear" w:color="auto" w:fill="auto"/>
            <w:vAlign w:val="center"/>
          </w:tcPr>
          <w:p w14:paraId="6338F5AF"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p>
        </w:tc>
        <w:tc>
          <w:tcPr>
            <w:tcW w:w="1836" w:type="dxa"/>
            <w:shd w:val="clear" w:color="auto" w:fill="auto"/>
            <w:vAlign w:val="center"/>
          </w:tcPr>
          <w:p w14:paraId="1B362294"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Oral Rat Acute Toxicity (LD50)</w:t>
            </w:r>
          </w:p>
        </w:tc>
        <w:tc>
          <w:tcPr>
            <w:tcW w:w="1656" w:type="dxa"/>
            <w:shd w:val="clear" w:color="auto" w:fill="auto"/>
            <w:vAlign w:val="center"/>
          </w:tcPr>
          <w:p w14:paraId="06D93FB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mol/kg</w:t>
            </w:r>
          </w:p>
        </w:tc>
        <w:tc>
          <w:tcPr>
            <w:tcW w:w="810" w:type="dxa"/>
            <w:shd w:val="clear" w:color="auto" w:fill="auto"/>
            <w:vAlign w:val="center"/>
          </w:tcPr>
          <w:p w14:paraId="576F036F"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2.7</w:t>
            </w:r>
          </w:p>
        </w:tc>
        <w:tc>
          <w:tcPr>
            <w:tcW w:w="695" w:type="dxa"/>
            <w:shd w:val="clear" w:color="auto" w:fill="auto"/>
            <w:vAlign w:val="center"/>
          </w:tcPr>
          <w:p w14:paraId="58E3A7F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2.5</w:t>
            </w:r>
          </w:p>
        </w:tc>
        <w:tc>
          <w:tcPr>
            <w:tcW w:w="670" w:type="dxa"/>
            <w:shd w:val="clear" w:color="auto" w:fill="auto"/>
            <w:vAlign w:val="center"/>
          </w:tcPr>
          <w:p w14:paraId="30B09FF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2.5</w:t>
            </w:r>
          </w:p>
        </w:tc>
        <w:tc>
          <w:tcPr>
            <w:tcW w:w="695" w:type="dxa"/>
            <w:shd w:val="clear" w:color="auto" w:fill="auto"/>
            <w:vAlign w:val="center"/>
          </w:tcPr>
          <w:p w14:paraId="02F61875"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2.5</w:t>
            </w:r>
          </w:p>
        </w:tc>
        <w:tc>
          <w:tcPr>
            <w:tcW w:w="756" w:type="dxa"/>
            <w:shd w:val="clear" w:color="auto" w:fill="auto"/>
            <w:vAlign w:val="center"/>
          </w:tcPr>
          <w:p w14:paraId="361503C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2.5</w:t>
            </w:r>
          </w:p>
        </w:tc>
        <w:tc>
          <w:tcPr>
            <w:tcW w:w="770" w:type="dxa"/>
            <w:shd w:val="clear" w:color="auto" w:fill="auto"/>
            <w:vAlign w:val="center"/>
          </w:tcPr>
          <w:p w14:paraId="5F3F3A92"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2.2</w:t>
            </w:r>
          </w:p>
        </w:tc>
      </w:tr>
      <w:tr w:rsidR="00C5660D" w:rsidRPr="00925C57" w14:paraId="6A9103F9" w14:textId="77777777" w:rsidTr="0079274B">
        <w:trPr>
          <w:jc w:val="center"/>
        </w:trPr>
        <w:tc>
          <w:tcPr>
            <w:tcW w:w="1400" w:type="dxa"/>
            <w:vMerge/>
            <w:shd w:val="clear" w:color="auto" w:fill="auto"/>
            <w:vAlign w:val="center"/>
          </w:tcPr>
          <w:p w14:paraId="5A6BAA95"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p>
        </w:tc>
        <w:tc>
          <w:tcPr>
            <w:tcW w:w="1836" w:type="dxa"/>
            <w:shd w:val="clear" w:color="auto" w:fill="auto"/>
            <w:vAlign w:val="center"/>
          </w:tcPr>
          <w:p w14:paraId="6F7BFAE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Oral Rat Chronic Toxicity</w:t>
            </w:r>
          </w:p>
        </w:tc>
        <w:tc>
          <w:tcPr>
            <w:tcW w:w="1656" w:type="dxa"/>
            <w:shd w:val="clear" w:color="auto" w:fill="auto"/>
            <w:vAlign w:val="center"/>
          </w:tcPr>
          <w:p w14:paraId="02557BE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log mg/kg_bw/day</w:t>
            </w:r>
          </w:p>
        </w:tc>
        <w:tc>
          <w:tcPr>
            <w:tcW w:w="810" w:type="dxa"/>
            <w:shd w:val="clear" w:color="auto" w:fill="auto"/>
            <w:vAlign w:val="center"/>
          </w:tcPr>
          <w:p w14:paraId="247E72A2"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1.1</w:t>
            </w:r>
          </w:p>
        </w:tc>
        <w:tc>
          <w:tcPr>
            <w:tcW w:w="695" w:type="dxa"/>
            <w:shd w:val="clear" w:color="auto" w:fill="auto"/>
            <w:vAlign w:val="center"/>
          </w:tcPr>
          <w:p w14:paraId="2200690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2.7</w:t>
            </w:r>
          </w:p>
        </w:tc>
        <w:tc>
          <w:tcPr>
            <w:tcW w:w="670" w:type="dxa"/>
            <w:shd w:val="clear" w:color="auto" w:fill="auto"/>
            <w:vAlign w:val="center"/>
          </w:tcPr>
          <w:p w14:paraId="04CAEB0C"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2.9</w:t>
            </w:r>
          </w:p>
        </w:tc>
        <w:tc>
          <w:tcPr>
            <w:tcW w:w="695" w:type="dxa"/>
            <w:shd w:val="clear" w:color="auto" w:fill="auto"/>
            <w:vAlign w:val="center"/>
          </w:tcPr>
          <w:p w14:paraId="77A7DE3C"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2.5</w:t>
            </w:r>
          </w:p>
        </w:tc>
        <w:tc>
          <w:tcPr>
            <w:tcW w:w="756" w:type="dxa"/>
            <w:shd w:val="clear" w:color="auto" w:fill="auto"/>
            <w:vAlign w:val="center"/>
          </w:tcPr>
          <w:p w14:paraId="7E058A72"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2.2</w:t>
            </w:r>
          </w:p>
        </w:tc>
        <w:tc>
          <w:tcPr>
            <w:tcW w:w="770" w:type="dxa"/>
            <w:shd w:val="clear" w:color="auto" w:fill="auto"/>
            <w:vAlign w:val="center"/>
          </w:tcPr>
          <w:p w14:paraId="359D31EC"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3.7</w:t>
            </w:r>
          </w:p>
        </w:tc>
      </w:tr>
      <w:tr w:rsidR="00C5660D" w:rsidRPr="00925C57" w14:paraId="4C22EC3B" w14:textId="77777777" w:rsidTr="0079274B">
        <w:trPr>
          <w:jc w:val="center"/>
        </w:trPr>
        <w:tc>
          <w:tcPr>
            <w:tcW w:w="1400" w:type="dxa"/>
            <w:vMerge/>
            <w:shd w:val="clear" w:color="auto" w:fill="auto"/>
            <w:vAlign w:val="center"/>
          </w:tcPr>
          <w:p w14:paraId="58524E1C"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p>
        </w:tc>
        <w:tc>
          <w:tcPr>
            <w:tcW w:w="1836" w:type="dxa"/>
            <w:shd w:val="clear" w:color="auto" w:fill="auto"/>
            <w:vAlign w:val="center"/>
          </w:tcPr>
          <w:p w14:paraId="688B5C2A"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Hepatotoxicity</w:t>
            </w:r>
          </w:p>
        </w:tc>
        <w:tc>
          <w:tcPr>
            <w:tcW w:w="1656" w:type="dxa"/>
            <w:shd w:val="clear" w:color="auto" w:fill="auto"/>
            <w:vAlign w:val="center"/>
          </w:tcPr>
          <w:p w14:paraId="455BA8D9"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Yes/No</w:t>
            </w:r>
          </w:p>
        </w:tc>
        <w:tc>
          <w:tcPr>
            <w:tcW w:w="810" w:type="dxa"/>
            <w:shd w:val="clear" w:color="auto" w:fill="auto"/>
            <w:vAlign w:val="center"/>
          </w:tcPr>
          <w:p w14:paraId="686974C1"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30B10DD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70" w:type="dxa"/>
            <w:shd w:val="clear" w:color="auto" w:fill="auto"/>
            <w:vAlign w:val="center"/>
          </w:tcPr>
          <w:p w14:paraId="136CE95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54418314"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56" w:type="dxa"/>
            <w:shd w:val="clear" w:color="auto" w:fill="auto"/>
            <w:vAlign w:val="center"/>
          </w:tcPr>
          <w:p w14:paraId="704E7E7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70" w:type="dxa"/>
            <w:shd w:val="clear" w:color="auto" w:fill="auto"/>
            <w:vAlign w:val="center"/>
          </w:tcPr>
          <w:p w14:paraId="0E5774A7"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w:t>
            </w:r>
          </w:p>
        </w:tc>
      </w:tr>
      <w:tr w:rsidR="00C5660D" w:rsidRPr="00925C57" w14:paraId="2777C42A" w14:textId="77777777" w:rsidTr="0079274B">
        <w:trPr>
          <w:jc w:val="center"/>
        </w:trPr>
        <w:tc>
          <w:tcPr>
            <w:tcW w:w="1400" w:type="dxa"/>
            <w:vMerge/>
            <w:shd w:val="clear" w:color="auto" w:fill="auto"/>
            <w:vAlign w:val="center"/>
          </w:tcPr>
          <w:p w14:paraId="72CD6ACC"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p>
        </w:tc>
        <w:tc>
          <w:tcPr>
            <w:tcW w:w="1836" w:type="dxa"/>
            <w:shd w:val="clear" w:color="auto" w:fill="auto"/>
            <w:vAlign w:val="center"/>
          </w:tcPr>
          <w:p w14:paraId="4D870C5E" w14:textId="758C63D1"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 xml:space="preserve">Skin </w:t>
            </w:r>
            <w:r w:rsidR="003713B9" w:rsidRPr="00925C57">
              <w:rPr>
                <w:rFonts w:ascii="Times New Roman" w:hAnsi="Times New Roman" w:cs="Times New Roman"/>
                <w:sz w:val="20"/>
                <w:szCs w:val="24"/>
                <w:lang w:val="en-US"/>
              </w:rPr>
              <w:t>Sensitization</w:t>
            </w:r>
          </w:p>
        </w:tc>
        <w:tc>
          <w:tcPr>
            <w:tcW w:w="1656" w:type="dxa"/>
            <w:shd w:val="clear" w:color="auto" w:fill="auto"/>
            <w:vAlign w:val="center"/>
          </w:tcPr>
          <w:p w14:paraId="50F26084"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Yes/No</w:t>
            </w:r>
          </w:p>
        </w:tc>
        <w:tc>
          <w:tcPr>
            <w:tcW w:w="810" w:type="dxa"/>
            <w:shd w:val="clear" w:color="auto" w:fill="auto"/>
            <w:vAlign w:val="center"/>
          </w:tcPr>
          <w:p w14:paraId="7D6D9725"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704C558F"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70" w:type="dxa"/>
            <w:shd w:val="clear" w:color="auto" w:fill="auto"/>
            <w:vAlign w:val="center"/>
          </w:tcPr>
          <w:p w14:paraId="3B7B372D"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695" w:type="dxa"/>
            <w:shd w:val="clear" w:color="auto" w:fill="auto"/>
            <w:vAlign w:val="center"/>
          </w:tcPr>
          <w:p w14:paraId="0100864E"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56" w:type="dxa"/>
            <w:shd w:val="clear" w:color="auto" w:fill="auto"/>
            <w:vAlign w:val="center"/>
          </w:tcPr>
          <w:p w14:paraId="0C2D005B"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c>
          <w:tcPr>
            <w:tcW w:w="770" w:type="dxa"/>
            <w:shd w:val="clear" w:color="auto" w:fill="auto"/>
            <w:vAlign w:val="center"/>
          </w:tcPr>
          <w:p w14:paraId="3573685F"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No</w:t>
            </w:r>
          </w:p>
        </w:tc>
      </w:tr>
      <w:tr w:rsidR="00C5660D" w:rsidRPr="00925C57" w14:paraId="59C50204" w14:textId="77777777" w:rsidTr="0079274B">
        <w:trPr>
          <w:jc w:val="center"/>
        </w:trPr>
        <w:tc>
          <w:tcPr>
            <w:tcW w:w="1400" w:type="dxa"/>
            <w:vMerge/>
            <w:shd w:val="clear" w:color="auto" w:fill="auto"/>
            <w:vAlign w:val="center"/>
          </w:tcPr>
          <w:p w14:paraId="38AD5188"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p>
        </w:tc>
        <w:tc>
          <w:tcPr>
            <w:tcW w:w="1836" w:type="dxa"/>
            <w:shd w:val="clear" w:color="auto" w:fill="auto"/>
            <w:vAlign w:val="center"/>
          </w:tcPr>
          <w:p w14:paraId="6C1D92D0"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T. Pyriformis toxicity</w:t>
            </w:r>
          </w:p>
        </w:tc>
        <w:tc>
          <w:tcPr>
            <w:tcW w:w="1656" w:type="dxa"/>
            <w:shd w:val="clear" w:color="auto" w:fill="auto"/>
            <w:vAlign w:val="center"/>
          </w:tcPr>
          <w:p w14:paraId="45962F8C"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log ug/L</w:t>
            </w:r>
          </w:p>
        </w:tc>
        <w:tc>
          <w:tcPr>
            <w:tcW w:w="810" w:type="dxa"/>
            <w:shd w:val="clear" w:color="auto" w:fill="auto"/>
            <w:vAlign w:val="center"/>
          </w:tcPr>
          <w:p w14:paraId="2DAADC9C"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0.1</w:t>
            </w:r>
          </w:p>
        </w:tc>
        <w:tc>
          <w:tcPr>
            <w:tcW w:w="695" w:type="dxa"/>
            <w:shd w:val="clear" w:color="auto" w:fill="auto"/>
            <w:vAlign w:val="center"/>
          </w:tcPr>
          <w:p w14:paraId="0EDE22D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0.3</w:t>
            </w:r>
          </w:p>
        </w:tc>
        <w:tc>
          <w:tcPr>
            <w:tcW w:w="670" w:type="dxa"/>
            <w:shd w:val="clear" w:color="auto" w:fill="auto"/>
            <w:vAlign w:val="center"/>
          </w:tcPr>
          <w:p w14:paraId="7AEB679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0.3</w:t>
            </w:r>
          </w:p>
        </w:tc>
        <w:tc>
          <w:tcPr>
            <w:tcW w:w="695" w:type="dxa"/>
            <w:shd w:val="clear" w:color="auto" w:fill="auto"/>
            <w:vAlign w:val="center"/>
          </w:tcPr>
          <w:p w14:paraId="33F23C16"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0.3</w:t>
            </w:r>
          </w:p>
        </w:tc>
        <w:tc>
          <w:tcPr>
            <w:tcW w:w="756" w:type="dxa"/>
            <w:shd w:val="clear" w:color="auto" w:fill="auto"/>
            <w:vAlign w:val="center"/>
          </w:tcPr>
          <w:p w14:paraId="6EF7FA3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0.3</w:t>
            </w:r>
          </w:p>
        </w:tc>
        <w:tc>
          <w:tcPr>
            <w:tcW w:w="770" w:type="dxa"/>
            <w:shd w:val="clear" w:color="auto" w:fill="auto"/>
            <w:vAlign w:val="center"/>
          </w:tcPr>
          <w:p w14:paraId="3A473B91"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0.3</w:t>
            </w:r>
          </w:p>
        </w:tc>
      </w:tr>
      <w:tr w:rsidR="00C5660D" w:rsidRPr="00925C57" w14:paraId="4C7B2AAB" w14:textId="77777777" w:rsidTr="0079274B">
        <w:trPr>
          <w:jc w:val="center"/>
        </w:trPr>
        <w:tc>
          <w:tcPr>
            <w:tcW w:w="1400" w:type="dxa"/>
            <w:vMerge/>
            <w:shd w:val="clear" w:color="auto" w:fill="auto"/>
            <w:vAlign w:val="center"/>
          </w:tcPr>
          <w:p w14:paraId="75EB3335" w14:textId="77777777" w:rsidR="00C5660D" w:rsidRPr="00925C57" w:rsidRDefault="00C5660D" w:rsidP="0079274B">
            <w:pPr>
              <w:autoSpaceDE w:val="0"/>
              <w:autoSpaceDN w:val="0"/>
              <w:adjustRightInd w:val="0"/>
              <w:snapToGrid w:val="0"/>
              <w:jc w:val="center"/>
              <w:rPr>
                <w:rFonts w:ascii="Times New Roman" w:hAnsi="Times New Roman" w:cs="Times New Roman"/>
                <w:b/>
                <w:sz w:val="20"/>
                <w:szCs w:val="24"/>
                <w:lang w:val="en-US"/>
              </w:rPr>
            </w:pPr>
          </w:p>
        </w:tc>
        <w:tc>
          <w:tcPr>
            <w:tcW w:w="1836" w:type="dxa"/>
            <w:shd w:val="clear" w:color="auto" w:fill="auto"/>
            <w:vAlign w:val="center"/>
          </w:tcPr>
          <w:p w14:paraId="5B187DB3"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Minnow toxicity</w:t>
            </w:r>
          </w:p>
        </w:tc>
        <w:tc>
          <w:tcPr>
            <w:tcW w:w="1656" w:type="dxa"/>
            <w:shd w:val="clear" w:color="auto" w:fill="auto"/>
            <w:vAlign w:val="center"/>
          </w:tcPr>
          <w:p w14:paraId="559B2932"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log mM</w:t>
            </w:r>
          </w:p>
        </w:tc>
        <w:tc>
          <w:tcPr>
            <w:tcW w:w="810" w:type="dxa"/>
            <w:shd w:val="clear" w:color="auto" w:fill="auto"/>
            <w:vAlign w:val="center"/>
          </w:tcPr>
          <w:p w14:paraId="3C8855F4"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2.3</w:t>
            </w:r>
          </w:p>
        </w:tc>
        <w:tc>
          <w:tcPr>
            <w:tcW w:w="695" w:type="dxa"/>
            <w:shd w:val="clear" w:color="auto" w:fill="auto"/>
            <w:vAlign w:val="center"/>
          </w:tcPr>
          <w:p w14:paraId="555655F8"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5.8</w:t>
            </w:r>
          </w:p>
        </w:tc>
        <w:tc>
          <w:tcPr>
            <w:tcW w:w="670" w:type="dxa"/>
            <w:shd w:val="clear" w:color="auto" w:fill="auto"/>
            <w:vAlign w:val="center"/>
          </w:tcPr>
          <w:p w14:paraId="6C2CED3F"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3.0</w:t>
            </w:r>
          </w:p>
        </w:tc>
        <w:tc>
          <w:tcPr>
            <w:tcW w:w="695" w:type="dxa"/>
            <w:shd w:val="clear" w:color="auto" w:fill="auto"/>
            <w:vAlign w:val="center"/>
          </w:tcPr>
          <w:p w14:paraId="12968825"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5.3</w:t>
            </w:r>
          </w:p>
        </w:tc>
        <w:tc>
          <w:tcPr>
            <w:tcW w:w="756" w:type="dxa"/>
            <w:shd w:val="clear" w:color="auto" w:fill="auto"/>
            <w:vAlign w:val="center"/>
          </w:tcPr>
          <w:p w14:paraId="33F1A977"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3.3</w:t>
            </w:r>
          </w:p>
        </w:tc>
        <w:tc>
          <w:tcPr>
            <w:tcW w:w="770" w:type="dxa"/>
            <w:shd w:val="clear" w:color="auto" w:fill="auto"/>
            <w:vAlign w:val="center"/>
          </w:tcPr>
          <w:p w14:paraId="58FF12A5" w14:textId="77777777" w:rsidR="00C5660D" w:rsidRPr="00925C57" w:rsidRDefault="00C5660D" w:rsidP="0079274B">
            <w:pPr>
              <w:autoSpaceDE w:val="0"/>
              <w:autoSpaceDN w:val="0"/>
              <w:adjustRightInd w:val="0"/>
              <w:snapToGrid w:val="0"/>
              <w:jc w:val="center"/>
              <w:rPr>
                <w:rFonts w:ascii="Times New Roman" w:hAnsi="Times New Roman" w:cs="Times New Roman"/>
                <w:sz w:val="20"/>
                <w:szCs w:val="24"/>
                <w:lang w:val="en-US"/>
              </w:rPr>
            </w:pPr>
            <w:r w:rsidRPr="00925C57">
              <w:rPr>
                <w:rFonts w:ascii="Times New Roman" w:hAnsi="Times New Roman" w:cs="Times New Roman"/>
                <w:sz w:val="20"/>
                <w:szCs w:val="24"/>
                <w:lang w:val="en-US"/>
              </w:rPr>
              <w:t>3.9</w:t>
            </w:r>
          </w:p>
        </w:tc>
      </w:tr>
    </w:tbl>
    <w:p w14:paraId="25C8EE59" w14:textId="3FF4F38B" w:rsidR="00EE5830" w:rsidRPr="00925C57" w:rsidRDefault="00235BD9" w:rsidP="0079274B">
      <w:pPr>
        <w:pStyle w:val="MDPI21heading1"/>
      </w:pPr>
      <w:r w:rsidRPr="00925C57">
        <w:t xml:space="preserve">3. </w:t>
      </w:r>
      <w:r w:rsidR="00D650AC" w:rsidRPr="00925C57">
        <w:t>Discussion</w:t>
      </w:r>
    </w:p>
    <w:p w14:paraId="5AC93A79" w14:textId="54649B12" w:rsidR="0052444D" w:rsidRPr="00925C57" w:rsidRDefault="00DE02F2" w:rsidP="0079274B">
      <w:pPr>
        <w:pStyle w:val="MDPI31text"/>
      </w:pPr>
      <w:r w:rsidRPr="00925C57">
        <w:t>I</w:t>
      </w:r>
      <w:r w:rsidR="00366DCE" w:rsidRPr="00925C57">
        <w:t>t is well known</w:t>
      </w:r>
      <w:r w:rsidR="0052444D" w:rsidRPr="00925C57">
        <w:t xml:space="preserve"> </w:t>
      </w:r>
      <w:r w:rsidR="00915ECA" w:rsidRPr="00925C57">
        <w:t>that virus infection capabilities</w:t>
      </w:r>
      <w:r w:rsidR="00366DCE" w:rsidRPr="00925C57">
        <w:t xml:space="preserve">, in general, are very sensitive to </w:t>
      </w:r>
      <w:r w:rsidR="00915ECA" w:rsidRPr="00925C57">
        <w:t xml:space="preserve">protein </w:t>
      </w:r>
      <w:r w:rsidR="00366DCE" w:rsidRPr="00925C57">
        <w:t>mutations</w:t>
      </w:r>
      <w:r w:rsidR="002439D4" w:rsidRPr="00925C57">
        <w:t>,</w:t>
      </w:r>
      <w:r w:rsidR="00366DCE" w:rsidRPr="00925C57">
        <w:t xml:space="preserve"> and </w:t>
      </w:r>
      <w:r w:rsidR="0052444D" w:rsidRPr="00925C57">
        <w:t xml:space="preserve">H7N9 </w:t>
      </w:r>
      <w:r w:rsidR="00B806AC" w:rsidRPr="00925C57">
        <w:t xml:space="preserve">avian </w:t>
      </w:r>
      <w:r w:rsidRPr="00925C57">
        <w:t xml:space="preserve">type influenza virus </w:t>
      </w:r>
      <w:r w:rsidR="0052444D" w:rsidRPr="00925C57">
        <w:t xml:space="preserve">is </w:t>
      </w:r>
      <w:r w:rsidR="00366DCE" w:rsidRPr="00925C57">
        <w:t>not an exclusion</w:t>
      </w:r>
      <w:r w:rsidR="00BE48C4" w:rsidRPr="00925C57">
        <w:t xml:space="preserve"> </w:t>
      </w:r>
      <w:r w:rsidR="00AA5948" w:rsidRPr="00925C57">
        <w:fldChar w:fldCharType="begin" w:fldLock="1"/>
      </w:r>
      <w:r w:rsidR="00347A50" w:rsidRPr="00925C57">
        <w:instrText>ADDIN CSL_CITATION {"citationItems":[{"id":"ITEM-1","itemData":{"DOI":"10.1016/j.rvsc.2015.10.007","ISSN":"15322661","PMID":"26679814","abstract":"Traditionally, embryonated chicken eggs (ECE) are considered the gold standard for Influenza virus isolation and vaccine production. Nowadays, different biological systems have been improved and performed, in order to evaluate a feasible alternative to ECE. In fact, in a previous study, mammalian and avian cell cultures were successfully used for avian influenza viruses primary isolation from target tissues and virus propagation. This research is focused on the investigation of adaptive mutations that occur after influenza A virus amplification in ECE and cell cultures. The results of the study shows that avian influenza viruses after multiple passages in different biological systems undergo mutations, in particular, the largest number of amino acid substitutions occurred in all biological substrates in the hemagglutinin.","author":[{"dropping-particle":"","family":"Lombardo","given":"Tina","non-dropping-particle":"","parse-names":false,"suffix":""},{"dropping-particle":"","family":"Chiapponi","given":"Chiara","non-dropping-particle":"","parse-names":false,"suffix":""},{"dropping-particle":"","family":"Baioni","given":"Laura","non-dropping-particle":"","parse-names":false,"suffix":""},{"dropping-particle":"","family":"Cinotti","given":"Stefano","non-dropping-particle":"","parse-names":false,"suffix":""},{"dropping-particle":"","family":"Ferrari","given":"Maura","non-dropping-particle":"","parse-names":false,"suffix":""}],"container-title":"Research in Veterinary Science","id":"ITEM-1","issued":{"date-parts":[["2015"]]},"page":"176-178","title":"Protein mutations following adaptation of avian influenza viruses in different biological systems","type":"article-journal","volume":"103"},"uris":["http://www.mendeley.com/documents/?uuid=5cc5aabe-a920-4225-bd3d-c0102e40b187","http://www.mendeley.com/documents/?uuid=9aebd368-e837-43ed-90ca-7ca0595a1d2f"]}],"mendeley":{"formattedCitation":"[16]","plainTextFormattedCitation":"[16]","previouslyFormattedCitation":"[16]"},"properties":{"noteIndex":0},"schema":"https://github.com/citation-style-language/schema/raw/master/csl-citation.json"}</w:instrText>
      </w:r>
      <w:r w:rsidR="00AA5948" w:rsidRPr="00925C57">
        <w:fldChar w:fldCharType="separate"/>
      </w:r>
      <w:r w:rsidR="00347A50" w:rsidRPr="00925C57">
        <w:t>[16]</w:t>
      </w:r>
      <w:r w:rsidR="00AA5948" w:rsidRPr="00925C57">
        <w:fldChar w:fldCharType="end"/>
      </w:r>
      <w:r w:rsidR="00BE48C4" w:rsidRPr="00925C57">
        <w:t>.</w:t>
      </w:r>
      <w:r w:rsidR="00BA511B" w:rsidRPr="00925C57">
        <w:rPr>
          <w:color w:val="00B0F0"/>
        </w:rPr>
        <w:t xml:space="preserve"> </w:t>
      </w:r>
      <w:r w:rsidR="002439D4" w:rsidRPr="00925C57">
        <w:t xml:space="preserve">A mutation of R to K at position 294 in </w:t>
      </w:r>
      <w:r w:rsidR="00B806AC" w:rsidRPr="00925C57">
        <w:t xml:space="preserve">the binding site of </w:t>
      </w:r>
      <w:r w:rsidR="002439D4" w:rsidRPr="00925C57">
        <w:t>N9 has already taken place, whic</w:t>
      </w:r>
      <w:r w:rsidR="00BE48C4" w:rsidRPr="00925C57">
        <w:t xml:space="preserve">h led to Oseltamivir resistance </w:t>
      </w:r>
      <w:r w:rsidR="00E6556D" w:rsidRPr="00925C57">
        <w:fldChar w:fldCharType="begin" w:fldLock="1"/>
      </w:r>
      <w:r w:rsidR="00347A50" w:rsidRPr="00925C57">
        <w:instrText>ADDIN CSL_CITATION {"citationItems":[{"id":"ITEM-1","itemData":{"DOI":"10.1038/cr.2013.144","ISSN":"10010602","PMID":"24165891","abstract":"An epidemic of an avian-origin H7N9 influenza virus has recently emerged in China, infecting 134 patients of which 45 have died. This is the first time that an influenza virus harboring an N9 serotype neuraminidase (NA) has been known to infect humans. H7N9 viruses are divergent and at least two distinct NAs and hemagglutinins (HAs) have been found, respectively, from clinical isolates. The prototypes of these viruses are A/Anhui/1/2013 and A/Shanghai/1/2013. NAs from these two viruses are distinct as the A/Shanghai/1/2013 NA has an R294K substitution that can confer NA inhibitor oseltamivir resistance. Oseltamivir is by far the most commonly used anti-influenza drug due to its potency and high bioavailability. In this study, we show that an R294K substitution results in multidrug resistance with extreme oseltamivir resistance (over 100 000-fold) using protein- and virus-based assays. To determine the molecular basis for the inhibitor resistance, we solved high-resolution crystal structures of NAs from A/Anhui/1/2013 N9 (R294-containing) and A/Shanghai/1/2013 N9 (K294-containing). R294K substitution results in an unfavorable E276 conformation for oseltamivir binding, and consequently loss of inhibitor carboxylate interactions, which compromises the binding of all classical NA ligands/inhibitors. Moreover, we found that R294K substitution results in reduced NA catalytic efficiency along with lower viral fitness. This helps to explain why K294 has predominantly been found in clinical cases of H7N9 infection under the selective pressure of oseltamivir treatment and not in the dominant human-infecting viruses. This implies that oseltamivir can still be efficiently used in the treatment of H7N9 infections. © 2013 IBCB, SIBS, CAS All rights reserved.","author":[{"dropping-particle":"","family":"Wu","given":"Yan","non-dropping-particle":"","parse-names":false,"suffix":""},{"dropping-particle":"","family":"Bi","given":"Yuhai","non-dropping-particle":"","parse-names":false,"suffix":""},{"dropping-particle":"","family":"Vavricka","given":"Christopher J.","non-dropping-particle":"","parse-names":false,"suffix":""},{"dropping-particle":"","family":"Sun","given":"Xiaoman","non-dropping-particle":"","parse-names":false,"suffix":""},{"dropping-particle":"","family":"Zhang","given":"Yanfang","non-dropping-particle":"","parse-names":false,"suffix":""},{"dropping-particle":"","family":"Gao","given":"Feng","non-dropping-particle":"","parse-names":false,"suffix":""},{"dropping-particle":"","family":"Zhao","given":"Min","non-dropping-particle":"","parse-names":false,"suffix":""},{"dropping-particle":"","family":"Xiao","given":"Haixia","non-dropping-particle":"","parse-names":false,"suffix":""},{"dropping-particle":"","family":"Qin","given":"Chengfeng","non-dropping-particle":"","parse-names":false,"suffix":""},{"dropping-particle":"","family":"He","given":"Jianhua","non-dropping-particle":"","parse-names":false,"suffix":""},{"dropping-particle":"","family":"Liu","given":"Wenjun","non-dropping-particle":"","parse-names":false,"suffix":""},{"dropping-particle":"","family":"Yan","given":"Jinghua","non-dropping-particle":"","parse-names":false,"suffix":""},{"dropping-particle":"","family":"Qi","given":"Jianxun","non-dropping-particle":"","parse-names":false,"suffix":""},{"dropping-particle":"","family":"Gao","given":"George F.","non-dropping-particle":"","parse-names":false,"suffix":""}],"container-title":"Cell Research","id":"ITEM-1","issue":"12","issued":{"date-parts":[["2013"]]},"page":"1347-1355","title":"Characterization of two distinct neuraminidases from avian-origin human-infecting H7N9 influenza viruses","type":"article-journal","volume":"23"},"uris":["http://www.mendeley.com/documents/?uuid=c37c6db6-52fb-41d2-a19c-f0cb0f522b67","http://www.mendeley.com/documents/?uuid=d25534af-3051-4689-820a-1c2fc1725081"]}],"mendeley":{"formattedCitation":"[12]","plainTextFormattedCitation":"[12]","previouslyFormattedCitation":"[12]"},"properties":{"noteIndex":0},"schema":"https://github.com/citation-style-language/schema/raw/master/csl-citation.json"}</w:instrText>
      </w:r>
      <w:r w:rsidR="00E6556D" w:rsidRPr="00925C57">
        <w:fldChar w:fldCharType="separate"/>
      </w:r>
      <w:r w:rsidR="00347A50" w:rsidRPr="00925C57">
        <w:t>[12]</w:t>
      </w:r>
      <w:r w:rsidR="00E6556D" w:rsidRPr="00925C57">
        <w:fldChar w:fldCharType="end"/>
      </w:r>
      <w:r w:rsidR="00BE48C4" w:rsidRPr="00925C57">
        <w:t>.</w:t>
      </w:r>
      <w:r w:rsidR="002439D4" w:rsidRPr="00925C57">
        <w:t xml:space="preserve"> </w:t>
      </w:r>
      <w:r w:rsidRPr="00925C57">
        <w:t xml:space="preserve">Therefore, </w:t>
      </w:r>
      <w:r w:rsidR="002439D4" w:rsidRPr="00925C57">
        <w:t xml:space="preserve">it is crucial to understand the influence of mutation </w:t>
      </w:r>
      <w:r w:rsidR="00806FED" w:rsidRPr="00925C57">
        <w:t>in the</w:t>
      </w:r>
      <w:r w:rsidR="00B806AC" w:rsidRPr="00925C57">
        <w:t xml:space="preserve"> active site </w:t>
      </w:r>
      <w:r w:rsidR="002439D4" w:rsidRPr="00925C57">
        <w:t>as well as the mechanism of drug-enzyme interaction in o</w:t>
      </w:r>
      <w:r w:rsidR="00B806AC" w:rsidRPr="00925C57">
        <w:t xml:space="preserve">rder to avoid </w:t>
      </w:r>
      <w:r w:rsidR="0061471F" w:rsidRPr="00925C57">
        <w:t>life-threatening accidents</w:t>
      </w:r>
      <w:r w:rsidR="00B806AC" w:rsidRPr="00925C57">
        <w:t xml:space="preserve"> in the future</w:t>
      </w:r>
      <w:r w:rsidR="0061471F" w:rsidRPr="00925C57">
        <w:t>. We introduced here all possible combination of mutations on three main residues – R294, R119, R372 and assessed them systematically for the interaction of inhibitors</w:t>
      </w:r>
      <w:r w:rsidR="00806FED" w:rsidRPr="00925C57">
        <w:t xml:space="preserve"> in the enzyme</w:t>
      </w:r>
      <w:r w:rsidR="0061471F" w:rsidRPr="00925C57">
        <w:t xml:space="preserve"> binding pocket</w:t>
      </w:r>
      <w:r w:rsidRPr="00925C57">
        <w:t>. In particular,</w:t>
      </w:r>
      <w:r w:rsidR="00806FED" w:rsidRPr="00925C57">
        <w:t xml:space="preserve"> R to </w:t>
      </w:r>
      <w:r w:rsidR="0052444D" w:rsidRPr="00925C57">
        <w:t xml:space="preserve">K single, double and triple mutants were examined for their resistance and susceptibility to various antiviral drugs. </w:t>
      </w:r>
      <w:r w:rsidR="00CD294C" w:rsidRPr="00925C57">
        <w:t>T</w:t>
      </w:r>
      <w:r w:rsidR="00F81395" w:rsidRPr="00925C57">
        <w:t>he substitution of R to K</w:t>
      </w:r>
      <w:r w:rsidR="00CD294C" w:rsidRPr="00925C57">
        <w:t xml:space="preserve"> in accordance with EDSSMat series</w:t>
      </w:r>
      <w:r w:rsidR="00F81395" w:rsidRPr="00925C57">
        <w:t xml:space="preserve"> is possible</w:t>
      </w:r>
      <w:r w:rsidR="000500C6" w:rsidRPr="00925C57">
        <w:t>.</w:t>
      </w:r>
      <w:r w:rsidR="00F81395" w:rsidRPr="00925C57">
        <w:t xml:space="preserve"> </w:t>
      </w:r>
      <w:r w:rsidR="00915ECA" w:rsidRPr="00925C57">
        <w:t xml:space="preserve">The conservative mutation was examined in </w:t>
      </w:r>
      <w:r w:rsidR="00776C08" w:rsidRPr="00925C57">
        <w:t>detail</w:t>
      </w:r>
      <w:r w:rsidR="00915ECA" w:rsidRPr="00925C57">
        <w:t xml:space="preserve"> as one of the most probable mutation steps. </w:t>
      </w:r>
      <w:r w:rsidR="000500C6" w:rsidRPr="00925C57">
        <w:t>T</w:t>
      </w:r>
      <w:r w:rsidR="00F81395" w:rsidRPr="00925C57">
        <w:t>he scoring of this matrix i</w:t>
      </w:r>
      <w:r w:rsidR="00422CA8" w:rsidRPr="00925C57">
        <w:t>s achieved by distributing fewer penalties</w:t>
      </w:r>
      <w:r w:rsidR="00F81395" w:rsidRPr="00925C57">
        <w:t xml:space="preserve"> for non-aligned/disordered residues obtained through evolution</w:t>
      </w:r>
      <w:r w:rsidR="00BE48C4" w:rsidRPr="00925C57">
        <w:t xml:space="preserve"> </w:t>
      </w:r>
      <w:r w:rsidR="00D9387F" w:rsidRPr="00925C57">
        <w:fldChar w:fldCharType="begin" w:fldLock="1"/>
      </w:r>
      <w:r w:rsidR="00347A50" w:rsidRPr="00925C57">
        <w:instrText>ADDIN CSL_CITATION {"citationItems":[{"id":"ITEM-1","itemData":{"DOI":"10.1038/s41598-019-52532-8","ISSN":"20452322","PMID":"31704957","abstract":"An amino acid substitution scoring matrix encapsulates the rates at which various amino acid residues in proteins are substituted by other amino acid residues, over time. Database search methods make use of substitution scoring matrices to identify sequences with homologous relationships. However, widely used substitution scoring matrices, such as BLOSUM series, have been developed using aligned blocks that are mostly devoid of disordered regions in proteins. Hence, these substitution-scoring matrices are mostly inappropriate for homology searches involving proteins enriched with disordered regions as the disordered regions have distinct amino acid compositional bias, and therefore expected to have undergone amino acid substitutions that are distinct from those in the ordered regions. We, therefore, developed a novel series of substitution scoring matrices referred to as EDSSMat by exclusively considering the substitution frequencies of amino acids in the disordered regions of the eukaryotic proteins. The newly developed matrices were tested for their ability to detect homologs of proteins enriched with disordered regions by means of SSEARCH tool. The results unequivocally demonstrate that EDSSMat matrices detect more number of homologs than the widely used BLOSUM, PAM and other standard matrices, indicating their utility value for homology searches of intrinsically disordered proteins.","author":[{"dropping-particle":"","family":"Trivedi","given":"Rakesh","non-dropping-particle":"","parse-names":false,"suffix":""},{"dropping-particle":"","family":"Nagarajaram","given":"Hampapathalu Adimurthy","non-dropping-particle":"","parse-names":false,"suffix":""}],"container-title":"Scientific Reports","id":"ITEM-1","issue":"1","issued":{"date-parts":[["2019"]]},"title":"Amino acid substitution scoring matrices specific to intrinsically disordered regions in proteins","type":"article-journal","volume":"9"},"uris":["http://www.mendeley.com/documents/?uuid=8e5835ec-9613-4ee0-b245-aad0c0572100","http://www.mendeley.com/documents/?uuid=aa67f1aa-2668-462e-95e8-d8d668879ce3"]}],"mendeley":{"formattedCitation":"[17]","plainTextFormattedCitation":"[17]","previouslyFormattedCitation":"[17]"},"properties":{"noteIndex":0},"schema":"https://github.com/citation-style-language/schema/raw/master/csl-citation.json"}</w:instrText>
      </w:r>
      <w:r w:rsidR="00D9387F" w:rsidRPr="00925C57">
        <w:fldChar w:fldCharType="separate"/>
      </w:r>
      <w:r w:rsidR="00347A50" w:rsidRPr="00925C57">
        <w:t>[17]</w:t>
      </w:r>
      <w:r w:rsidR="00D9387F" w:rsidRPr="00925C57">
        <w:fldChar w:fldCharType="end"/>
      </w:r>
      <w:r w:rsidR="00BE48C4" w:rsidRPr="00925C57">
        <w:t>.</w:t>
      </w:r>
      <w:r w:rsidR="00F81395" w:rsidRPr="00925C57">
        <w:t xml:space="preserve"> </w:t>
      </w:r>
      <w:r w:rsidR="00C81706" w:rsidRPr="00925C57">
        <w:t xml:space="preserve">Similarly, </w:t>
      </w:r>
      <w:r w:rsidR="004156B2" w:rsidRPr="00925C57">
        <w:t>Blosum matrix suggests that the replacement of R to K is highly favorable</w:t>
      </w:r>
      <w:r w:rsidR="00BE48C4" w:rsidRPr="00925C57">
        <w:t xml:space="preserve"> </w:t>
      </w:r>
      <w:r w:rsidR="004371BC" w:rsidRPr="00925C57">
        <w:fldChar w:fldCharType="begin" w:fldLock="1"/>
      </w:r>
      <w:r w:rsidR="00347A50" w:rsidRPr="00925C57">
        <w:instrText>ADDIN CSL_CITATION {"citationItems":[{"id":"ITEM-1","itemData":{"DOI":"10.1073/pnas.89.22.10915","ISSN":"00278424","PMID":"1438297","abstract":"Methods for alignment of protein sequences typically measure similarity by using a substitution matrix with scores for all possible exchanges of one amino acid with another. The most widely used matrices are based on the Dayhoff model of evolutionary rates. Using a different approach, we have derived substitution matrices from about 2000 blocks of aligned sequence segments characterizing more than 500 groups of related proteins. This led to marked improvements in alignments and in searches using queries from each of the groups.","author":[{"dropping-particle":"","family":"Henikoff","given":"S.","non-dropping-particle":"","parse-names":false,"suffix":""},{"dropping-particle":"","family":"Henikoff","given":"J. G.","non-dropping-particle":"","parse-names":false,"suffix":""}],"container-title":"Proceedings of the National Academy of Sciences of the United States of America","id":"ITEM-1","issue":"22","issued":{"date-parts":[["1992"]]},"page":"10915-10919","title":"Amino acid substitution matrices from protein blocks","type":"article-journal","volume":"89"},"uris":["http://www.mendeley.com/documents/?uuid=bbc52916-7c16-4f39-b11e-0ead56456ffd","http://www.mendeley.com/documents/?uuid=55c29f6f-1aa6-402a-98bb-bcd9dd69e24f"]}],"mendeley":{"formattedCitation":"[14]","plainTextFormattedCitation":"[14]","previouslyFormattedCitation":"[14]"},"properties":{"noteIndex":0},"schema":"https://github.com/citation-style-language/schema/raw/master/csl-citation.json"}</w:instrText>
      </w:r>
      <w:r w:rsidR="004371BC" w:rsidRPr="00925C57">
        <w:fldChar w:fldCharType="separate"/>
      </w:r>
      <w:r w:rsidR="00347A50" w:rsidRPr="00925C57">
        <w:t>[14]</w:t>
      </w:r>
      <w:r w:rsidR="004371BC" w:rsidRPr="00925C57">
        <w:fldChar w:fldCharType="end"/>
      </w:r>
      <w:r w:rsidR="00BE48C4" w:rsidRPr="00925C57">
        <w:t>.</w:t>
      </w:r>
    </w:p>
    <w:p w14:paraId="736A0C43" w14:textId="459AAE91" w:rsidR="0066442C" w:rsidRPr="00925C57" w:rsidRDefault="00E753AE" w:rsidP="0079274B">
      <w:pPr>
        <w:pStyle w:val="MDPI31text"/>
      </w:pPr>
      <w:r w:rsidRPr="00925C57">
        <w:t>We used molecular docking</w:t>
      </w:r>
      <w:r w:rsidR="00CB7052" w:rsidRPr="00925C57">
        <w:t xml:space="preserve"> </w:t>
      </w:r>
      <w:r w:rsidR="007932C4" w:rsidRPr="00925C57">
        <w:t>technique</w:t>
      </w:r>
      <w:r w:rsidR="00CB7052" w:rsidRPr="00925C57">
        <w:t xml:space="preserve"> to st</w:t>
      </w:r>
      <w:r w:rsidR="002934EC" w:rsidRPr="00925C57">
        <w:t xml:space="preserve">ructurally analyze the </w:t>
      </w:r>
      <w:r w:rsidR="00CB7052" w:rsidRPr="00925C57">
        <w:t>drug</w:t>
      </w:r>
      <w:r w:rsidR="002934EC" w:rsidRPr="00925C57">
        <w:t>-</w:t>
      </w:r>
      <w:r w:rsidR="005253A1" w:rsidRPr="00925C57">
        <w:t>enzyme</w:t>
      </w:r>
      <w:r w:rsidR="009169C6" w:rsidRPr="00925C57">
        <w:t xml:space="preserve"> interaction</w:t>
      </w:r>
      <w:r w:rsidR="002934EC" w:rsidRPr="00925C57">
        <w:t xml:space="preserve"> mechanism</w:t>
      </w:r>
      <w:r w:rsidR="005253A1" w:rsidRPr="00925C57">
        <w:t xml:space="preserve"> in wild type as well as mutated NAs</w:t>
      </w:r>
      <w:r w:rsidR="00CB7052" w:rsidRPr="00925C57">
        <w:t>.</w:t>
      </w:r>
      <w:r w:rsidR="00B80386" w:rsidRPr="00925C57">
        <w:t xml:space="preserve"> Results obtained</w:t>
      </w:r>
      <w:r w:rsidR="002934EC" w:rsidRPr="00925C57">
        <w:t xml:space="preserve"> from </w:t>
      </w:r>
      <w:r w:rsidR="00804E90" w:rsidRPr="00925C57">
        <w:t>H-bo</w:t>
      </w:r>
      <w:r w:rsidR="009169C6" w:rsidRPr="00925C57">
        <w:t>nd and salt-bridge formation</w:t>
      </w:r>
      <w:r w:rsidR="002934EC" w:rsidRPr="00925C57">
        <w:t xml:space="preserve"> profile</w:t>
      </w:r>
      <w:r w:rsidR="00B80386" w:rsidRPr="00925C57">
        <w:t xml:space="preserve"> (please, refer to Tables 4 and 5)</w:t>
      </w:r>
      <w:r w:rsidR="00804E90" w:rsidRPr="00925C57">
        <w:t>, at first glance</w:t>
      </w:r>
      <w:r w:rsidR="002934EC" w:rsidRPr="00925C57">
        <w:t>,</w:t>
      </w:r>
      <w:r w:rsidR="00804E90" w:rsidRPr="00925C57">
        <w:t xml:space="preserve"> brought us to the idea that the drugs Peramivir, </w:t>
      </w:r>
      <w:r w:rsidR="002934EC" w:rsidRPr="00925C57">
        <w:t xml:space="preserve">Zanamivir and Laninamivir behave similarly. </w:t>
      </w:r>
      <w:r w:rsidR="00D666E7" w:rsidRPr="00925C57">
        <w:t xml:space="preserve">However, further analysis of </w:t>
      </w:r>
      <w:r w:rsidR="00555B84" w:rsidRPr="00925C57">
        <w:t xml:space="preserve">the </w:t>
      </w:r>
      <w:r w:rsidR="0027122D" w:rsidRPr="00925C57">
        <w:t>shapes</w:t>
      </w:r>
      <w:r w:rsidR="00D666E7" w:rsidRPr="00925C57">
        <w:t xml:space="preserve"> of binding pockets upon mutations as well as drug fitness to them opened another perspective</w:t>
      </w:r>
      <w:r w:rsidR="00EF0F80" w:rsidRPr="00925C57">
        <w:t xml:space="preserve"> for evaluation</w:t>
      </w:r>
      <w:r w:rsidR="00D666E7" w:rsidRPr="00925C57">
        <w:t xml:space="preserve">. </w:t>
      </w:r>
      <w:r w:rsidR="0027122D" w:rsidRPr="00925C57">
        <w:t>T</w:t>
      </w:r>
      <w:r w:rsidR="005253A1" w:rsidRPr="00925C57">
        <w:t>he residue substitutions</w:t>
      </w:r>
      <w:r w:rsidR="001F4152" w:rsidRPr="00925C57">
        <w:t>,</w:t>
      </w:r>
      <w:r w:rsidR="005253A1" w:rsidRPr="00925C57">
        <w:t xml:space="preserve"> introduced in our study</w:t>
      </w:r>
      <w:r w:rsidR="001F4152" w:rsidRPr="00925C57">
        <w:t>,</w:t>
      </w:r>
      <w:r w:rsidR="005253A1" w:rsidRPr="00925C57">
        <w:t xml:space="preserve"> changed</w:t>
      </w:r>
      <w:r w:rsidR="00555B84" w:rsidRPr="00925C57">
        <w:t xml:space="preserve"> the </w:t>
      </w:r>
      <w:r w:rsidR="005253A1" w:rsidRPr="00925C57">
        <w:t xml:space="preserve">conformation of the pocket, which, in turn, affected the inhibitor-enzyme interaction resulting in reduced </w:t>
      </w:r>
      <w:r w:rsidR="00555B84" w:rsidRPr="00925C57">
        <w:t>binding capabilities for all drugs</w:t>
      </w:r>
      <w:r w:rsidR="005253A1" w:rsidRPr="00925C57">
        <w:t>.</w:t>
      </w:r>
      <w:r w:rsidR="00C226EF" w:rsidRPr="00925C57">
        <w:t xml:space="preserve"> Particularly influenced by mutations were the drugs Oseltamivir, L-Arginine</w:t>
      </w:r>
      <w:r w:rsidR="00A45885" w:rsidRPr="00925C57">
        <w:t xml:space="preserve"> and Benserazide hydrochloride, showing a huge shift with respect to the reference structure of the drug bound to the pocket of WT NA (see Table 6). The least affected by single mutations was the drug Peramivir with an RMSD value of less th</w:t>
      </w:r>
      <w:r w:rsidR="0009347C" w:rsidRPr="00925C57">
        <w:t>a</w:t>
      </w:r>
      <w:r w:rsidR="00A45885" w:rsidRPr="00925C57">
        <w:t>n 1 Å. D</w:t>
      </w:r>
      <w:r w:rsidR="0066442C" w:rsidRPr="00925C57">
        <w:t>ouble and triple mutations had even</w:t>
      </w:r>
      <w:r w:rsidR="00A45885" w:rsidRPr="00925C57">
        <w:t xml:space="preserve"> </w:t>
      </w:r>
      <w:r w:rsidR="0066442C" w:rsidRPr="00925C57">
        <w:t>higher impact on binding poses for all drugs, especially the one with R119_294K substitution. However, in this case the drug Zanamivir was the one with the least displacement amongst the studied drugs (please refer to Table 6).</w:t>
      </w:r>
    </w:p>
    <w:p w14:paraId="0236DA62" w14:textId="5A27C2A5" w:rsidR="00F40521" w:rsidRPr="00925C57" w:rsidRDefault="00BC7589" w:rsidP="0079274B">
      <w:pPr>
        <w:pStyle w:val="MDPI31text"/>
      </w:pPr>
      <w:r w:rsidRPr="00925C57">
        <w:t>Mutation</w:t>
      </w:r>
      <w:r w:rsidR="00F40521" w:rsidRPr="00925C57">
        <w:t xml:space="preserve"> </w:t>
      </w:r>
      <w:r w:rsidR="00B508C0" w:rsidRPr="00925C57">
        <w:t xml:space="preserve">of the key residues </w:t>
      </w:r>
      <w:r w:rsidR="00F40521" w:rsidRPr="00925C57">
        <w:t xml:space="preserve">in the active site of an enzyme reduces </w:t>
      </w:r>
      <w:r w:rsidRPr="00925C57">
        <w:t xml:space="preserve">not only the affinity of the drug towards the pocket, but </w:t>
      </w:r>
      <w:r w:rsidR="00A2237E" w:rsidRPr="00925C57">
        <w:t xml:space="preserve">may </w:t>
      </w:r>
      <w:r w:rsidRPr="00925C57">
        <w:t>also</w:t>
      </w:r>
      <w:r w:rsidR="00A2237E" w:rsidRPr="00925C57">
        <w:t xml:space="preserve"> affect</w:t>
      </w:r>
      <w:r w:rsidRPr="00925C57">
        <w:t xml:space="preserve"> </w:t>
      </w:r>
      <w:r w:rsidR="00F40521" w:rsidRPr="00925C57">
        <w:t xml:space="preserve">the </w:t>
      </w:r>
      <w:r w:rsidR="00A2237E" w:rsidRPr="00925C57">
        <w:t xml:space="preserve">normal </w:t>
      </w:r>
      <w:r w:rsidR="00F40521" w:rsidRPr="00925C57">
        <w:t xml:space="preserve">activity of </w:t>
      </w:r>
      <w:r w:rsidR="00A2237E" w:rsidRPr="00925C57">
        <w:t>the</w:t>
      </w:r>
      <w:r w:rsidRPr="00925C57">
        <w:t xml:space="preserve"> enzyme itself</w:t>
      </w:r>
      <w:r w:rsidR="00F40521" w:rsidRPr="00925C57">
        <w:t>. This is particularly well described</w:t>
      </w:r>
      <w:r w:rsidR="00A2237E" w:rsidRPr="00925C57">
        <w:t xml:space="preserve"> for the influenza neuraminidase studied </w:t>
      </w:r>
      <w:r w:rsidR="00F40521" w:rsidRPr="00925C57">
        <w:t xml:space="preserve">in the </w:t>
      </w:r>
      <w:r w:rsidR="00150DFE" w:rsidRPr="00925C57">
        <w:t xml:space="preserve">research </w:t>
      </w:r>
      <w:r w:rsidR="00F40521" w:rsidRPr="00925C57">
        <w:t>work</w:t>
      </w:r>
      <w:r w:rsidR="00B508C0" w:rsidRPr="00925C57">
        <w:t xml:space="preserve"> of Yen</w:t>
      </w:r>
      <w:r w:rsidR="003D0267" w:rsidRPr="00925C57">
        <w:t xml:space="preserve"> et al.</w:t>
      </w:r>
      <w:r w:rsidR="00BE48C4" w:rsidRPr="00925C57">
        <w:t xml:space="preserve"> </w:t>
      </w:r>
      <w:r w:rsidR="003D0267" w:rsidRPr="00925C57">
        <w:fldChar w:fldCharType="begin" w:fldLock="1"/>
      </w:r>
      <w:r w:rsidR="00347A50" w:rsidRPr="00925C57">
        <w:instrText>ADDIN CSL_CITATION {"citationItems":[{"id":"ITEM-1","itemData":{"DOI":"10.1128/jvi.00477-06","ISSN":"0022-538X","PMID":"16912325","abstract":"Neuraminidase inhibitors (NAIs) are antivirals designed to target conserved residues at the neuraminidase (NA) enzyme active site in influenza A and B viruses. The conserved residues that interact with NAIs are under selective pressure, but only a few have been linked to resistance. In the A/Wuhan/359/95 (H3N2) recombinant virus background, we characterized seven charged, conserved NA residues (R118, R371, E227, R152, R224, E276, and D151) that directly interact with the NAIs but have not been reported to confer resistance to NAIs. These NA residues were replaced with amino acids that possess side chains having similar properties to maintain their original charge. The NA mutations we introduced significantly decreased NA activity compared to that of the A/Wuhan/359/95 recombinant wild-type and R292K (an NA mutation frequently reported to confer resistance) viruses, which were analyzed for comparison. However, the recombinant viruses differed in replication efficiency when we serially passaged them in vitro; the growth of the R118K and E227D viruses was most impaired. The R224K, E276D, and R371K mutations conferred resistance to both zanamivir and oseltamivir, while the D151E mutation reduced susceptibility to oseltamivir only (</w:instrText>
      </w:r>
      <w:r w:rsidR="00347A50" w:rsidRPr="00925C57">
        <w:rPr>
          <w:rFonts w:ascii="Cambria Math" w:hAnsi="Cambria Math" w:cs="Cambria Math"/>
        </w:rPr>
        <w:instrText>∼</w:instrText>
      </w:r>
      <w:r w:rsidR="00347A50" w:rsidRPr="00925C57">
        <w:instrText>10-fold) and the R152K mutation did not alter susceptibility to either drug. Because the R224K mutation was genetically unstable and the emergence of the R371K mutation in the N2 subtype is statistically unlikely, our results suggest that only the E276D mutation is likely to emerge under selective pressure. The results of our study may help to optimize the design of NAIs.","author":[{"dropping-particle":"","family":"Yen","given":"Hui-Ling","non-dropping-particle":"","parse-names":false,"suffix":""},{"dropping-particle":"","family":"Hoffmann","given":"Erich","non-dropping-particle":"","parse-names":false,"suffix":""},{"dropping-particle":"","family":"Taylor","given":"Garry","non-dropping-particle":"","parse-names":false,"suffix":""},{"dropping-particle":"","family":"Scholtissek","given":"Christoph","non-dropping-particle":"","parse-names":false,"suffix":""},{"dropping-particle":"","family":"Monto","given":"Arnold S.","non-dropping-particle":"","parse-names":false,"suffix":""},{"dropping-particle":"","family":"Webster","given":"Robert G.","non-dropping-particle":"","parse-names":false,"suffix":""},{"dropping-particle":"","family":"Govorkova","given":"Elena A.","non-dropping-particle":"","parse-names":false,"suffix":""}],"container-title":"Journal of Virology","id":"ITEM-1","issue":"17","issued":{"date-parts":[["2006"]]},"page":"8787-8795","title":"Importance of Neuraminidase Active-Site Residues to the Neuraminidase Inhibitor Resistance of Influenza Viruses","type":"article-journal","volume":"80"},"uris":["http://www.mendeley.com/documents/?uuid=6cb5173a-0229-4d18-b2cb-ea5cfd63bb97","http://www.mendeley.com/documents/?uuid=1969b897-fafd-4123-8cc0-97405bfd53ec"]}],"mendeley":{"formattedCitation":"[18]","plainTextFormattedCitation":"[18]","previouslyFormattedCitation":"[18]"},"properties":{"noteIndex":0},"schema":"https://github.com/citation-style-language/schema/raw/master/csl-citation.json"}</w:instrText>
      </w:r>
      <w:r w:rsidR="003D0267" w:rsidRPr="00925C57">
        <w:fldChar w:fldCharType="separate"/>
      </w:r>
      <w:r w:rsidR="00347A50" w:rsidRPr="00925C57">
        <w:t>[18]</w:t>
      </w:r>
      <w:r w:rsidR="003D0267" w:rsidRPr="00925C57">
        <w:fldChar w:fldCharType="end"/>
      </w:r>
      <w:r w:rsidR="00BE48C4" w:rsidRPr="00925C57">
        <w:t>.</w:t>
      </w:r>
    </w:p>
    <w:p w14:paraId="1A1C73AD" w14:textId="24B5AFCF" w:rsidR="00C54C63" w:rsidRPr="00925C57" w:rsidRDefault="00C37533" w:rsidP="0079274B">
      <w:pPr>
        <w:pStyle w:val="MDPI31text"/>
      </w:pPr>
      <w:r w:rsidRPr="00925C57">
        <w:t xml:space="preserve">However, </w:t>
      </w:r>
      <w:r w:rsidR="003D0267" w:rsidRPr="00925C57">
        <w:t xml:space="preserve">in our case </w:t>
      </w:r>
      <w:r w:rsidRPr="00925C57">
        <w:t>t</w:t>
      </w:r>
      <w:r w:rsidR="00C54C63" w:rsidRPr="00925C57">
        <w:t xml:space="preserve">he level of resistance triggered by the </w:t>
      </w:r>
      <w:r w:rsidR="0066442C" w:rsidRPr="00925C57">
        <w:t xml:space="preserve">replaced </w:t>
      </w:r>
      <w:r w:rsidR="00C54C63" w:rsidRPr="00925C57">
        <w:t xml:space="preserve">residues when they come in contact with NA active site can be elucidated </w:t>
      </w:r>
      <w:r w:rsidR="00EF0F80" w:rsidRPr="00925C57">
        <w:t xml:space="preserve">also </w:t>
      </w:r>
      <w:r w:rsidR="00C54C63" w:rsidRPr="00925C57">
        <w:t>in terms of reduction in H-bonds, notably in L-Arginine, where the residues Lys 119, Lys 294 and Lys 372 do not show any</w:t>
      </w:r>
      <w:r w:rsidR="00EF0F80" w:rsidRPr="00925C57">
        <w:t xml:space="preserve"> interactions. This</w:t>
      </w:r>
      <w:r w:rsidR="00C54C63" w:rsidRPr="00925C57">
        <w:t xml:space="preserve"> makes an enzyme </w:t>
      </w:r>
      <w:r w:rsidR="00E47B63" w:rsidRPr="00925C57">
        <w:t xml:space="preserve">even </w:t>
      </w:r>
      <w:r w:rsidR="00C54C63" w:rsidRPr="00925C57">
        <w:t>more resistant to inhibitor, as these moieties are almost present in all other drug in</w:t>
      </w:r>
      <w:r w:rsidR="00433E06" w:rsidRPr="00925C57">
        <w:t>teraction with WT and mutant NA</w:t>
      </w:r>
      <w:r w:rsidR="00C54C63" w:rsidRPr="00925C57">
        <w:t>s. However, it is worth to note, that R294 and Tyr 406 can be considered as the most significant residues for drug binding in sense that they are involved in H-bond formations with almost all drug-enzyme complexes.</w:t>
      </w:r>
    </w:p>
    <w:p w14:paraId="5619DD0E" w14:textId="6628F0B4" w:rsidR="002F4205" w:rsidRPr="00925C57" w:rsidRDefault="003E7499" w:rsidP="0079274B">
      <w:pPr>
        <w:pStyle w:val="MDPI31text"/>
      </w:pPr>
      <w:r w:rsidRPr="00925C57">
        <w:t>Predicted pharmacokinetic properties</w:t>
      </w:r>
      <w:r w:rsidR="002F4205" w:rsidRPr="00925C57">
        <w:t xml:space="preserve"> (please, refer to Table 7)</w:t>
      </w:r>
      <w:r w:rsidRPr="00925C57">
        <w:t xml:space="preserve"> did not show any toxicity or side effect for the </w:t>
      </w:r>
      <w:r w:rsidR="002F4205" w:rsidRPr="00925C57">
        <w:t xml:space="preserve">considered </w:t>
      </w:r>
      <w:r w:rsidRPr="00925C57">
        <w:t xml:space="preserve">drugs. </w:t>
      </w:r>
      <w:r w:rsidR="002F4205" w:rsidRPr="00925C57">
        <w:t>They</w:t>
      </w:r>
      <w:r w:rsidRPr="00925C57">
        <w:t xml:space="preserve"> are well distributed in blood plasma</w:t>
      </w:r>
      <w:r w:rsidR="002F4205" w:rsidRPr="00925C57">
        <w:t>, metabolized and excreted. Besides, there is no clinical trial evidence showing severe side effects for the above-mentioned drugs</w:t>
      </w:r>
      <w:r w:rsidR="00233059">
        <w:t>.</w:t>
      </w:r>
      <w:r w:rsidR="002F4205" w:rsidRPr="00925C57">
        <w:t xml:space="preserve"> In general, the drugs Oseltamivir, Zanamivir, </w:t>
      </w:r>
      <w:r w:rsidR="002F4205" w:rsidRPr="00925C57">
        <w:lastRenderedPageBreak/>
        <w:t xml:space="preserve">Peramivir and Laninamivir are well-tolerated </w:t>
      </w:r>
      <w:r w:rsidR="00652836" w:rsidRPr="00652836">
        <w:t>but sometimes they trigger side-effects such as mild nausea and vomiting</w:t>
      </w:r>
      <w:r w:rsidR="00BE48C4" w:rsidRPr="00925C57">
        <w:t xml:space="preserve"> </w:t>
      </w:r>
      <w:r w:rsidR="002F4205" w:rsidRPr="00925C57">
        <w:fldChar w:fldCharType="begin" w:fldLock="1"/>
      </w:r>
      <w:r w:rsidR="00BE48C4" w:rsidRPr="00925C57">
        <w:instrText>ADDIN CSL_CITATION {"citationItems":[{"id":"ITEM-1","itemData":{"DOI":"10.2165/00003495-199958050-00007","ISSN":"00126667","PMID":"10595865","abstract":"Oseltamivir is the oral prodrug of GS4071, a selective inhibitor of influenza A and B viral neuraminidnse. After absorption from the gastrointestinal tract oseltamivir is efficiently converted to GS4071, which is maintained at high and sustained concentrations in plasma. Based on studies in rats and ferrets, GS4071 appears to be effectively distributed to all tissues, including major sites of infection in the upper and lower respiratory tracts. Oral oseltamivir was an effective treatment in naturally occurring influenza when administered within 36 hours of symptom onset, reducing both the duration and severity of symptoms and the incidence of secondary complications in influenza-infected patients enrolled in 2 large placebo-controlled, double-blind trials. Prophylactic oral administration of oseltamivir was effective in reducing the incidence of influenza illness according to pooled data from 2 large placebo-controlled, double-blind trials of healthy nonimmunised volunteers during periods of seasonal influenza activity. The reported incidence of viral resistance to GS4071 was low in clinical isolates from oseltamivir treatment studies. All known GS4071 resistant genotypes are growth disadvantaged and display significantly reduced infectivity in animals. Oseltamivir was well tolerated in human volunteers and patients in clinical trials. Treatment-related adverse events (primarily gastrointestinal) were mild and transient in nature.","author":[{"dropping-particle":"","family":"Bardsley-Elliot","given":"Anne","non-dropping-particle":"","parse-names":false,"suffix":""},{"dropping-particle":"","family":"Noble","given":"Stuart","non-dropping-particle":"","parse-names":false,"suffix":""}],"container-title":"Drugs","id":"ITEM-1","issue":"5","issued":{"date-parts":[["1999"]]},"page":"851-860","title":"Oseltamivir","type":"article","volume":"58"},"uris":["http://www.mendeley.com/documents/?uuid=9e388502-834f-4127-8dcf-5e977bc150dc","http://www.mendeley.com/documents/?uuid=105c2ccc-ed9d-4421-b9eb-2697c451d18f"]}],"mendeley":{"formattedCitation":"[19]","manualFormatting":"[19","plainTextFormattedCitation":"[19]","previouslyFormattedCitation":"[19]"},"properties":{"noteIndex":0},"schema":"https://github.com/citation-style-language/schema/raw/master/csl-citation.json"}</w:instrText>
      </w:r>
      <w:r w:rsidR="002F4205" w:rsidRPr="00925C57">
        <w:fldChar w:fldCharType="separate"/>
      </w:r>
      <w:r w:rsidR="00347A50" w:rsidRPr="00925C57">
        <w:t>[19</w:t>
      </w:r>
      <w:r w:rsidR="002F4205" w:rsidRPr="00925C57">
        <w:fldChar w:fldCharType="end"/>
      </w:r>
      <w:r w:rsidR="00BE48C4" w:rsidRPr="00925C57">
        <w:t>-</w:t>
      </w:r>
      <w:r w:rsidR="002F4205" w:rsidRPr="00925C57">
        <w:fldChar w:fldCharType="begin" w:fldLock="1"/>
      </w:r>
      <w:r w:rsidR="00BE48C4" w:rsidRPr="00925C57">
        <w:instrText>ADDIN CSL_CITATION {"citationItems":[{"id":"ITEM-1","itemData":{"DOI":"10.1093/cid/ciw255","ISSN":"15376591","PMID":"27118785","abstract":"Background. A single administration of laninamivir octanoate, a long-acting neuraminidase inhibitor, has been proven to be effective in the treatment of influenza but not for post-exposure prophylaxis. Methods. We conducted a double-blind, multicenter, randomized, placebo-controlled study to determine if a single administration of laninamivir octanoate 40 mg was superior to placebo for post-exposure prophylaxis. Eligible participants who had cohabited with an influenza patient within 48 hours of symptom onset were randomly assigned (1:1:1) to 1 of 3 groups: 40 mg of laninamivir octanoate single administration (LO-40SD), 20 mg of laninamivir octanoate once daily for 2 days (LO-20TD), or placebo. The primary efficacy endpoint was the proportion of participants who developed clinical influenza (defined as influenza virus positive, an axillary temperature &gt;37.5°C, and at least 2 symptoms) over a 10-day period. Results. A total of 803 participants were enrolled, with 801 included in the primary analysis. The proportions of participants with clinical influenza were 4.5% (12/267), 4.5% (13/269), and 12.1% (32/265) in the LO-40SD, LO-20TD, and placebo groups, respectively. A single administration of laninamivir octanoate 40 mg significantly reduced the development of influenza compared with placebo (P =. 001). The relative risk reductions compared with the placebo group were 62.8% and 63.1% for the LO-40SD and LO-20TD groups, respectively. The incidence of adverse events in the LO-40SD group was similar to that of the LO-20TD and placebo groups. Conclusions. A single administration of laninamivir octanoate was effective and well tolerated as post-exposure prophylaxis to prevent the development of influenza. Clinical Trials Registration. JapicCTI-142679.","author":[{"dropping-particle":"","family":"Kashiwagi","given":"Seizaburo","non-dropping-particle":"","parse-names":false,"suffix":""},{"dropping-particle":"","family":"Watanabe","given":"Akira","non-dropping-particle":"","parse-names":false,"suffix":""},{"dropping-particle":"","family":"Ikematsu","given":"Hideyuki","non-dropping-particle":"","parse-names":false,"suffix":""},{"dropping-particle":"","family":"Uemori","given":"Mitsutoshi","non-dropping-particle":"","parse-names":false,"suffix":""},{"dropping-particle":"","family":"Awamura","given":"Shinichiro","non-dropping-particle":"","parse-names":false,"suffix":""},{"dropping-particle":"","family":"Ishida","given":"Katsuyasu","non-dropping-particle":"","parse-names":false,"suffix":""},{"dropping-particle":"","family":"Nishioka","given":"Satoshi","non-dropping-particle":"","parse-names":false,"suffix":""},{"dropping-particle":"","family":"Isobe","given":"Koji","non-dropping-particle":"","parse-names":false,"suffix":""},{"dropping-particle":"","family":"Sumitani","given":"Tokuhito","non-dropping-particle":"","parse-names":false,"suffix":""},{"dropping-particle":"","family":"Yamaguchi","given":"Toshiko","non-dropping-particle":"","parse-names":false,"suffix":""},{"dropping-particle":"","family":"Igarashi","given":"Yutaka","non-dropping-particle":"","parse-names":false,"suffix":""},{"dropping-particle":"","family":"Sato","given":"Hideki","non-dropping-particle":"","parse-names":false,"suffix":""},{"dropping-particle":"","family":"Saito","given":"Kouta","non-dropping-particle":"","parse-names":false,"suffix":""},{"dropping-particle":"","family":"Shibuya","given":"Tomoyuki","non-dropping-particle":"","parse-names":false,"suffix":""},{"dropping-particle":"","family":"Enomoto","given":"Shinya","non-dropping-particle":"","parse-names":false,"suffix":""},{"dropping-particle":"","family":"Oshika","given":"Eiki","non-dropping-particle":"","parse-names":false,"suffix":""},{"dropping-particle":"","family":"Murakawa","given":"Yasuko","non-dropping-particle":"","parse-names":false,"suffix":""},{"dropping-particle":"","family":"Kuroki","given":"Haruo","non-dropping-particle":"","parse-names":false,"suffix":""},{"dropping-particle":"","family":"Maehara","given":"Koji","non-dropping-particle":"","parse-names":false,"suffix":""},{"dropping-particle":"","family":"Miyazono","given":"Yuko","non-dropping-particle":"","parse-names":false,"suffix":""},{"dropping-particle":"","family":"Umezawa","given":"Yoshihiro","non-dropping-particle":"","parse-names":false,"suffix":""},{"dropping-particle":"","family":"Ono","given":"Ryuta","non-dropping-particle":"","parse-names":false,"suffix":""},{"dropping-particle":"","family":"Saito","given":"Kenji","non-dropping-particle":"","parse-names":false,"suffix":""},{"dropping-particle":"","family":"Takei","given":"Jiro","non-dropping-particle":"","parse-names":false,"suffix":""},{"dropping-particle":"","family":"Takano","given":"Mikiko","non-dropping-particle":"","parse-names":false,"suffix":""},{"dropping-particle":"","family":"Amemiya","given":"Hideki","non-dropping-particle":"","parse-names":false,"suffix":""},{"dropping-particle":"","family":"Arakawa","given":"Kazuo","non-dropping-particle":"","parse-names":false,"suffix":""},{"dropping-particle":"","family":"Matsubara","given":"Shigenori","non-dropping-particle":"","parse-names":false,"suffix":""},{"dropping-particle":"","family":"Sugimoto","given":"Kazumasa","non-dropping-particle":"","parse-names":false,"suffix":""},{"dropping-particle":"","family":"Kikumori","given":"Hiroshi","non-dropping-particle":"","parse-names":false,"suffix":""},{"dropping-particle":"","family":"Sunami","given":"Toshihiko","non-dropping-particle":"","parse-names":false,"suffix":""},{"dropping-particle":"","family":"Yoshimura","given":"Ryota","non-dropping-particle":"","parse-names":false,"suffix":""},{"dropping-particle":"","family":"Takahashi","given":"Toshikazu","non-dropping-particle":"","parse-names":false,"suffix":""},{"dropping-particle":"","family":"Nakamura","given":"Yutaka","non-dropping-particle":"","parse-names":false,"suffix":""},{"dropping-particle":"","family":"Tsuboi","given":"Keiichi","non-dropping-particle":"","parse-names":false,"suffix":""},{"dropping-particle":"","family":"Shinohara","given":"Hidehisa","non-dropping-particle":"","parse-names":false,"suffix":""},{"dropping-particle":"","family":"Onari","given":"Shigeru","non-dropping-particle":"","parse-names":false,"suffix":""},{"dropping-particle":"","family":"Tanabe","given":"Michiko","non-dropping-particle":"","parse-names":false,"suffix":""},{"dropping-particle":"","family":"Taniguchi","given":"Hiroshi","non-dropping-particle":"","parse-names":false,"suffix":""},{"dropping-particle":"","family":"Kihara","given":"Mikio","non-dropping-particle":"","parse-names":false,"suffix":""},{"dropping-particle":"","family":"Yoshimitsu","given":"Tatsuo","non-dropping-particle":"","parse-names":false,"suffix":""},{"dropping-particle":"","family":"Yokoyama","given":"Takato","non-dropping-particle":"","parse-names":false,"suffix":""},{"dropping-particle":"","family":"Takasaki","given":"Yoshio","non-dropping-particle":"","parse-names":false,"suffix":""},{"dropping-particle":"","family":"Yamashita","given":"Yuji","non-dropping-particle":"","parse-names":false,"suffix":""},{"dropping-particle":"","family":"Harada","given":"Hiroshi","non-dropping-particle":"","parse-names":false,"suffix":""},{"dropping-particle":"","family":"Aida","given":"Katsumaro","non-dropping-particle":"","parse-names":false,"suffix":""},{"dropping-particle":"","family":"Shindo","given":"Shizuo","non-dropping-particle":"","parse-names":false,"suffix":""},{"dropping-particle":"","family":"Shimomura","given":"Kunihisa","non-dropping-particle":"","parse-names":false,"suffix":""},{"dropping-particle":"","family":"Kiyomatsu","given":"Yumi","non-dropping-particle":"","parse-names":false,"suffix":""},{"dropping-particle":"","family":"Umezu","given":"Toru","non-dropping-particle":"","parse-names":false,"suffix":""},{"dropping-particle":"","family":"Ikeda","given":"Motohisa","non-dropping-particle":"","parse-names":false,"suffix":""},{"dropping-particle":"","family":"Iwaya","given":"Minako","non-dropping-particle":"","parse-names":false,"suffix":""},{"dropping-particle":"","family":"Higashikawa","given":"Masaki","non-dropping-particle":"","parse-names":false,"suffix":""},{"dropping-particle":"","family":"Inamitsu","given":"Takeshi","non-dropping-particle":"","parse-names":false,"suffix":""},{"dropping-particle":"","family":"Tokunaga","given":"Yasuyuki","non-dropping-particle":"","parse-names":false,"suffix":""},{"dropping-particle":"","family":"Okazaki","given":"Satoru","non-dropping-particle":"","parse-names":false,"suffix":""},{"dropping-particle":"","family":"Tokunaga","given":"Yoichi","non-dropping-particle":"","parse-names":false,"suffix":""},{"dropping-particle":"","family":"Maeda","given":"Tetsunari","non-dropping-particle":"","parse-names":false,"suffix":""},{"dropping-particle":"","family":"Tahara","given":"Hirofumi","non-dropping-particle":"","parse-names":false,"suffix":""}],"container-title":"Clinical Infectious Diseases","id":"ITEM-1","issue":"3","issued":{"date-parts":[["2016"]]},"page":"330-337","title":"Long-acting Neuraminidase Inhibitor Laninamivir Octanoate as Post-exposure Prophylaxis for Influenza","type":"article","volume":"63"},"uris":["http://www.mendeley.com/documents/?uuid=33af5507-4c7e-4bf4-a926-24dbb3e27013","http://www.mendeley.com/documents/?uuid=d462a667-9387-4192-a515-bdc55b6558e8"]}],"mendeley":{"formattedCitation":"[24]","manualFormatting":"24]","plainTextFormattedCitation":"[24]","previouslyFormattedCitation":"[24]"},"properties":{"noteIndex":0},"schema":"https://github.com/citation-style-language/schema/raw/master/csl-citation.json"}</w:instrText>
      </w:r>
      <w:r w:rsidR="002F4205" w:rsidRPr="00925C57">
        <w:fldChar w:fldCharType="separate"/>
      </w:r>
      <w:r w:rsidR="00347A50" w:rsidRPr="00925C57">
        <w:t>24]</w:t>
      </w:r>
      <w:r w:rsidR="002F4205" w:rsidRPr="00925C57">
        <w:fldChar w:fldCharType="end"/>
      </w:r>
      <w:r w:rsidR="00BE48C4" w:rsidRPr="00925C57">
        <w:t>.</w:t>
      </w:r>
      <w:r w:rsidR="002F4205" w:rsidRPr="00925C57">
        <w:t xml:space="preserve"> As for the L-Arginine and Be</w:t>
      </w:r>
      <w:r w:rsidR="00652836">
        <w:t>n</w:t>
      </w:r>
      <w:r w:rsidR="002F4205" w:rsidRPr="00925C57">
        <w:t>serazide hydrochloride, there are no published data available. However, L-Arginine as an amino acid should be well tolerated by human body.</w:t>
      </w:r>
    </w:p>
    <w:p w14:paraId="67696610" w14:textId="56D93B2F" w:rsidR="002F4205" w:rsidRPr="00925C57" w:rsidRDefault="002F4205" w:rsidP="0079274B">
      <w:pPr>
        <w:pStyle w:val="MDPI31text"/>
      </w:pPr>
      <w:r w:rsidRPr="00925C57">
        <w:t xml:space="preserve">The drugs Oseltamivir and Zanamivir </w:t>
      </w:r>
      <w:r w:rsidR="00BE48C4" w:rsidRPr="00925C57">
        <w:t xml:space="preserve">are both commercially available </w:t>
      </w:r>
      <w:r w:rsidR="004D6E1F" w:rsidRPr="00925C57">
        <w:fldChar w:fldCharType="begin" w:fldLock="1"/>
      </w:r>
      <w:r w:rsidR="00347A50" w:rsidRPr="00925C57">
        <w:instrText>ADDIN CSL_CITATION {"citationItems":[{"id":"ITEM-1","itemData":{"DOI":"10.3390/v7092850","ISSN":"19994915","PMID":"26389935","abstract":"Influenza is a major cause of severe respiratory infections leading to excessive hospitalizations and deaths globally; annual epidemics, pandemics, and sporadic/endemic avian virus infections occur as a result of rapid, continuous evolution of influenza viruses. Emergence of antiviral resistance is of great clinical and public health concern. Currently available antiviral treatments include four neuraminidase inhibitors (oseltamivir, zanamivir, peramivir, laninamivir), M2-inibitors (amantadine, rimantadine), and a polymerase inhibitor (favipiravir). In this review, we focus on resistance issues related to the use of neuraminidase inhibitors (NAIs). Data on primary resistance, as well as secondary resistance related to NAI exposure will be presented. Their clinical implications, detection, and novel therapeutic options undergoing clinical trials are discussed.","author":[{"dropping-particle":"","family":"Li","given":"Timothy C.M.","non-dropping-particle":"","parse-names":false,"suffix":""},{"dropping-particle":"","family":"Chan","given":"Martin C.W.","non-dropping-particle":"","parse-names":false,"suffix":""},{"dropping-particle":"","family":"Lee","given":"Nelson","non-dropping-particle":"","parse-names":false,"suffix":""}],"container-title":"Viruses","id":"ITEM-1","issue":"9","issued":{"date-parts":[["2015"]]},"page":"4929-4944","title":"Clinical implications of antiviral resistance in influenza","type":"article","volume":"7"},"uris":["http://www.mendeley.com/documents/?uuid=2be14dc2-6d34-44c0-b843-265f4c25dcfc","http://www.mendeley.com/documents/?uuid=fc2d46e9-58d0-439a-ac1e-843774d33022"]}],"mendeley":{"formattedCitation":"[25]","plainTextFormattedCitation":"[25]","previouslyFormattedCitation":"[25]"},"properties":{"noteIndex":0},"schema":"https://github.com/citation-style-language/schema/raw/master/csl-citation.json"}</w:instrText>
      </w:r>
      <w:r w:rsidR="004D6E1F" w:rsidRPr="00925C57">
        <w:fldChar w:fldCharType="separate"/>
      </w:r>
      <w:r w:rsidR="00347A50" w:rsidRPr="00925C57">
        <w:t>[25]</w:t>
      </w:r>
      <w:r w:rsidR="004D6E1F" w:rsidRPr="00925C57">
        <w:fldChar w:fldCharType="end"/>
      </w:r>
      <w:r w:rsidR="00BE48C4" w:rsidRPr="00925C57">
        <w:t>.</w:t>
      </w:r>
      <w:r w:rsidRPr="00925C57">
        <w:t xml:space="preserve"> However, Peramivir is available only</w:t>
      </w:r>
      <w:r w:rsidR="004D6E1F" w:rsidRPr="00925C57">
        <w:t xml:space="preserve"> in USA, Korea, Japan and China</w:t>
      </w:r>
      <w:r w:rsidR="00BE48C4" w:rsidRPr="00925C57">
        <w:t xml:space="preserve"> </w:t>
      </w:r>
      <w:r w:rsidR="004D6E1F" w:rsidRPr="00925C57">
        <w:fldChar w:fldCharType="begin" w:fldLock="1"/>
      </w:r>
      <w:r w:rsidR="00347A50" w:rsidRPr="00925C57">
        <w:instrText>ADDIN CSL_CITATION {"citationItems":[{"id":"ITEM-1","itemData":{"DOI":"10.3390/v7092850","ISSN":"19994915","PMID":"26389935","abstract":"Influenza is a major cause of severe respiratory infections leading to excessive hospitalizations and deaths globally; annual epidemics, pandemics, and sporadic/endemic avian virus infections occur as a result of rapid, continuous evolution of influenza viruses. Emergence of antiviral resistance is of great clinical and public health concern. Currently available antiviral treatments include four neuraminidase inhibitors (oseltamivir, zanamivir, peramivir, laninamivir), M2-inibitors (amantadine, rimantadine), and a polymerase inhibitor (favipiravir). In this review, we focus on resistance issues related to the use of neuraminidase inhibitors (NAIs). Data on primary resistance, as well as secondary resistance related to NAI exposure will be presented. Their clinical implications, detection, and novel therapeutic options undergoing clinical trials are discussed.","author":[{"dropping-particle":"","family":"Li","given":"Timothy C.M.","non-dropping-particle":"","parse-names":false,"suffix":""},{"dropping-particle":"","family":"Chan","given":"Martin C.W.","non-dropping-particle":"","parse-names":false,"suffix":""},{"dropping-particle":"","family":"Lee","given":"Nelson","non-dropping-particle":"","parse-names":false,"suffix":""}],"container-title":"Viruses","id":"ITEM-1","issue":"9","issued":{"date-parts":[["2015"]]},"page":"4929-4944","title":"Clinical implications of antiviral resistance in influenza","type":"article","volume":"7"},"uris":["http://www.mendeley.com/documents/?uuid=fc2d46e9-58d0-439a-ac1e-843774d33022","http://www.mendeley.com/documents/?uuid=2be14dc2-6d34-44c0-b843-265f4c25dcfc"]}],"mendeley":{"formattedCitation":"[25]","plainTextFormattedCitation":"[25]","previouslyFormattedCitation":"[25]"},"properties":{"noteIndex":0},"schema":"https://github.com/citation-style-language/schema/raw/master/csl-citation.json"}</w:instrText>
      </w:r>
      <w:r w:rsidR="004D6E1F" w:rsidRPr="00925C57">
        <w:fldChar w:fldCharType="separate"/>
      </w:r>
      <w:r w:rsidR="00347A50" w:rsidRPr="00925C57">
        <w:t>[25]</w:t>
      </w:r>
      <w:r w:rsidR="004D6E1F" w:rsidRPr="00925C57">
        <w:fldChar w:fldCharType="end"/>
      </w:r>
      <w:r w:rsidR="00BE48C4" w:rsidRPr="00925C57">
        <w:t>,</w:t>
      </w:r>
      <w:r w:rsidRPr="00925C57">
        <w:t xml:space="preserve"> while Laninamivir – only in Japan</w:t>
      </w:r>
      <w:r w:rsidR="00BE48C4" w:rsidRPr="00925C57">
        <w:t xml:space="preserve"> </w:t>
      </w:r>
      <w:r w:rsidR="004D6E1F" w:rsidRPr="00925C57">
        <w:fldChar w:fldCharType="begin" w:fldLock="1"/>
      </w:r>
      <w:r w:rsidR="00347A50" w:rsidRPr="00925C57">
        <w:instrText>ADDIN CSL_CITATION {"citationItems":[{"id":"ITEM-1","itemData":{"DOI":"10.3390/v7092850","ISSN":"19994915","PMID":"26389935","abstract":"Influenza is a major cause of severe respiratory infections leading to excessive hospitalizations and deaths globally; annual epidemics, pandemics, and sporadic/endemic avian virus infections occur as a result of rapid, continuous evolution of influenza viruses. Emergence of antiviral resistance is of great clinical and public health concern. Currently available antiviral treatments include four neuraminidase inhibitors (oseltamivir, zanamivir, peramivir, laninamivir), M2-inibitors (amantadine, rimantadine), and a polymerase inhibitor (favipiravir). In this review, we focus on resistance issues related to the use of neuraminidase inhibitors (NAIs). Data on primary resistance, as well as secondary resistance related to NAI exposure will be presented. Their clinical implications, detection, and novel therapeutic options undergoing clinical trials are discussed.","author":[{"dropping-particle":"","family":"Li","given":"Timothy C.M.","non-dropping-particle":"","parse-names":false,"suffix":""},{"dropping-particle":"","family":"Chan","given":"Martin C.W.","non-dropping-particle":"","parse-names":false,"suffix":""},{"dropping-particle":"","family":"Lee","given":"Nelson","non-dropping-particle":"","parse-names":false,"suffix":""}],"container-title":"Viruses","id":"ITEM-1","issue":"9","issued":{"date-parts":[["2015"]]},"page":"4929-4944","title":"Clinical implications of antiviral resistance in influenza","type":"article","volume":"7"},"uris":["http://www.mendeley.com/documents/?uuid=fc2d46e9-58d0-439a-ac1e-843774d33022","http://www.mendeley.com/documents/?uuid=2be14dc2-6d34-44c0-b843-265f4c25dcfc"]}],"mendeley":{"formattedCitation":"[25]","plainTextFormattedCitation":"[25]","previouslyFormattedCitation":"[25]"},"properties":{"noteIndex":0},"schema":"https://github.com/citation-style-language/schema/raw/master/csl-citation.json"}</w:instrText>
      </w:r>
      <w:r w:rsidR="004D6E1F" w:rsidRPr="00925C57">
        <w:fldChar w:fldCharType="separate"/>
      </w:r>
      <w:r w:rsidR="00347A50" w:rsidRPr="00925C57">
        <w:t>[25]</w:t>
      </w:r>
      <w:r w:rsidR="004D6E1F" w:rsidRPr="00925C57">
        <w:fldChar w:fldCharType="end"/>
      </w:r>
      <w:r w:rsidR="00BE48C4" w:rsidRPr="00925C57">
        <w:t>.</w:t>
      </w:r>
      <w:r w:rsidRPr="00925C57">
        <w:t xml:space="preserve"> </w:t>
      </w:r>
      <w:r w:rsidR="00DF7802" w:rsidRPr="00925C57">
        <w:t>It is worth to note, that</w:t>
      </w:r>
      <w:r w:rsidRPr="00925C57">
        <w:t xml:space="preserve"> the drugs Oseltamivir, Zanamivir, Peramivir and Laninamivir are regularly used during seasonal outbreaks of influenza virus</w:t>
      </w:r>
      <w:r w:rsidR="003410A2" w:rsidRPr="00925C57">
        <w:t xml:space="preserve"> </w:t>
      </w:r>
      <w:r w:rsidR="00FC1B6A" w:rsidRPr="00925C57">
        <w:fldChar w:fldCharType="begin" w:fldLock="1"/>
      </w:r>
      <w:r w:rsidR="003410A2" w:rsidRPr="00925C57">
        <w:instrText>ADDIN CSL_CITATION {"citationItems":[{"id":"ITEM-1","itemData":{"DOI":"10.1159/000362436","ISSN":"14219794","PMID":"24821568","abstract":"Background: The neuraminidase inhibitors (NAIs) oseltamivir, zanamivir, laninamivir and peramivir are available in Japan. However, the selective use of NAIs for treating outpatients with influenza has not been clearly defined. Methods: We assigned 191 patients with influenza to 4 groups, each treated with a different NAI, and then compared how long it took to alleviate fever and other symptoms and to eliminate the virus. Results: Alleviation of fever occurred significantly sooner with peramivir than with either zanamivir (p = 0.0002) or oseltamivir (p = 0.0059), but was not significantly different from that with laninamivir (p = 0.0457; p &lt; 0.0083). Other symptoms were also alleviated sooner by peramivir than by the other 3 NAIs. Conclusions: The ability of each NAI to alleviate influenza symptoms and fever varied. The appropriate use of NAIs requires further study. © 2014 S. Karger AG, Basel.","author":[{"dropping-particle":"","family":"Takemoto","given":"Yuji","non-dropping-particle":"","parse-names":false,"suffix":""},{"dropping-particle":"","family":"Asai","given":"Teizaburo","non-dropping-particle":"","parse-names":false,"suffix":""},{"dropping-particle":"","family":"Ikezoe","given":"Itsuo","non-dropping-particle":"","parse-names":false,"suffix":""},{"dropping-particle":"","family":"Yano","given":"Takako","non-dropping-particle":"","parse-names":false,"suffix":""},{"dropping-particle":"","family":"Ichikawa","given":"Masahiro","non-dropping-particle":"","parse-names":false,"suffix":""},{"dropping-particle":"","family":"Miyagawa","given":"Shogo","non-dropping-particle":"","parse-names":false,"suffix":""},{"dropping-particle":"","family":"Matsumoto","given":"Jun","non-dropping-particle":"","parse-names":false,"suffix":""}],"container-title":"Chemotherapy","id":"ITEM-1","issue":"5","issued":{"date-parts":[["2014"]]},"page":"373-378","title":"Clinical effects of oseltamivir, zanamivir, laninamivir and peramivir on seasonal influenza infection in outpatients in Japan during the winter of 2012-2013","type":"article-journal","volume":"59"},"uris":["http://www.mendeley.com/documents/?uuid=1bd137cd-196e-4037-8d32-3478c85f9466","http://www.mendeley.com/documents/?uuid=7d279de7-58b5-46e6-9910-00c1b3c14119"]}],"mendeley":{"formattedCitation":"[26]","manualFormatting":"[26","plainTextFormattedCitation":"[26]","previouslyFormattedCitation":"[26]"},"properties":{"noteIndex":0},"schema":"https://github.com/citation-style-language/schema/raw/master/csl-citation.json"}</w:instrText>
      </w:r>
      <w:r w:rsidR="00FC1B6A" w:rsidRPr="00925C57">
        <w:fldChar w:fldCharType="separate"/>
      </w:r>
      <w:r w:rsidR="00347A50" w:rsidRPr="00925C57">
        <w:t>[26</w:t>
      </w:r>
      <w:r w:rsidR="00FC1B6A" w:rsidRPr="00925C57">
        <w:fldChar w:fldCharType="end"/>
      </w:r>
      <w:r w:rsidR="003410A2" w:rsidRPr="00925C57">
        <w:t>,</w:t>
      </w:r>
      <w:r w:rsidR="00FC1B6A" w:rsidRPr="00925C57">
        <w:fldChar w:fldCharType="begin" w:fldLock="1"/>
      </w:r>
      <w:r w:rsidR="003410A2" w:rsidRPr="00925C57">
        <w:instrText>ADDIN CSL_CITATION {"citationItems":[{"id":"ITEM-1","itemData":{"DOI":"10.1016/j.jiac.2018.01.013","ISSN":"14377780","PMID":"29487035","abstract":"The clinical effectiveness of four neuraminidase inhibitors (NAIs) (oseltamivir, zanamivir, laninamivir, and peramivir) for children aged 0 months to 18 years with influenza A and B were investigated in the 2014–2015 to 2016–2017 influenza seasons in Japan. A total of 1207 patients (747 with influenza A and 460 with influenza B) were enrolled. The Cox proportional-hazards model using all of the patients showed that the duration of fever after administration of the first dose of the NAI was shorter in older patients (hazard ratio = 1.06 per 1 year of age, p &lt; 0.001) and that the duration of fever after administration of the first dose of the NAI was shorter in patients with influenza A infection than in patients with influenza B infection (hazard ratio = 2.21, p &lt; 0.001). A logistic regression model showed that the number of biphasic fever episodes was 2.99-times greater for influenza B-infected patients than for influenza A-infected patients (p &lt; 0.001). The number of biphasic fever episodes in influenza A- or B-infected patients aged 0–4 years was 2.89-times greater than that in patients aged 10–18 years (p = 0.010), and the number of episodes in influenza A- or B-infected patients aged 5–9 years was 2.13-times greater than that in patients aged 10–18 years (p = 0.012).","author":[{"dropping-particle":"","family":"Ishiguro","given":"Nobuhisa","non-dropping-particle":"","parse-names":false,"suffix":""},{"dropping-particle":"","family":"Koseki","given":"Naoko","non-dropping-particle":"","parse-names":false,"suffix":""},{"dropping-particle":"","family":"Kaiho","given":"Miki","non-dropping-particle":"","parse-names":false,"suffix":""},{"dropping-particle":"","family":"Ariga","given":"Tadashi","non-dropping-particle":"","parse-names":false,"suffix":""},{"dropping-particle":"","family":"Kikuta","given":"Hideaki","non-dropping-particle":"","parse-names":false,"suffix":""},{"dropping-particle":"","family":"Oba","given":"Koji","non-dropping-particle":"","parse-names":false,"suffix":""},{"dropping-particle":"","family":"Togashi","given":"Takehiro","non-dropping-particle":"","parse-names":false,"suffix":""},{"dropping-particle":"","family":"Morita","given":"Keisuke","non-dropping-particle":"","parse-names":false,"suffix":""},{"dropping-particle":"","family":"Inagawa","given":"Akira","non-dropping-particle":"","parse-names":false,"suffix":""},{"dropping-particle":"","family":"Okamura","given":"Akiko","non-dropping-particle":"","parse-names":false,"suffix":""},{"dropping-particle":"","family":"Yamazaki","given":"Shigeru","non-dropping-particle":"","parse-names":false,"suffix":""},{"dropping-particle":"","family":"Shida","given":"Satoru","non-dropping-particle":"","parse-names":false,"suffix":""},{"dropping-particle":"","family":"Konno","given":"Mutsuko","non-dropping-particle":"","parse-names":false,"suffix":""},{"dropping-particle":"","family":"Kawamura","given":"Nobuaki","non-dropping-particle":"","parse-names":false,"suffix":""},{"dropping-particle":"","family":"Ishizaka","given":"Akihito","non-dropping-particle":"","parse-names":false,"suffix":""},{"dropping-particle":"","family":"Takada","given":"Kimihiko","non-dropping-particle":"","parse-names":false,"suffix":""},{"dropping-particle":"","family":"Tsubakihara","given":"Keiji","non-dropping-particle":"","parse-names":false,"suffix":""},{"dropping-particle":"","family":"Nagano","given":"Naoko","non-dropping-particle":"","parse-names":false,"suffix":""},{"dropping-particle":"","family":"Shibata","given":"Mutsuo","non-dropping-particle":"","parse-names":false,"suffix":""},{"dropping-particle":"","family":"Furuyama","given":"Hideto","non-dropping-particle":"","parse-names":false,"suffix":""},{"dropping-particle":"","family":"Matsuzono","given":"Yoshihiro","non-dropping-particle":"","parse-names":false,"suffix":""},{"dropping-particle":"","family":"Koike","given":"Akemi","non-dropping-particle":"","parse-names":false,"suffix":""},{"dropping-particle":"","family":"Murashita","given":"Mari","non-dropping-particle":"","parse-names":false,"suffix":""},{"dropping-particle":"","family":"Hatae","given":"Yoshio","non-dropping-particle":"","parse-names":false,"suffix":""},{"dropping-particle":"","family":"Arioka","given":"Hideki","non-dropping-particle":"","parse-names":false,"suffix":""},{"dropping-particle":"","family":"Yamanaka","given":"Tatsuru","non-dropping-particle":"","parse-names":false,"suffix":""},{"dropping-particle":"","family":"Watanabe","given":"Toru","non-dropping-particle":"","parse-names":false,"suffix":""},{"dropping-particle":"","family":"Tabata","given":"Yuuichi","non-dropping-particle":"","parse-names":false,"suffix":""},{"dropping-particle":"","family":"Kumita","given":"Yoshihiro","non-dropping-particle":"","parse-names":false,"suffix":""},{"dropping-particle":"","family":"Hazama","given":"Kyosuke","non-dropping-particle":"","parse-names":false,"suffix":""},{"dropping-particle":"","family":"Akutsu","given":"Yasushi","non-dropping-particle":"","parse-names":false,"suffix":""},{"dropping-particle":"","family":"Aoyagi","given":"Hayato","non-dropping-particle":"","parse-names":false,"suffix":""},{"dropping-particle":"","family":"Tobise","given":"Chie","non-dropping-particle":"","parse-names":false,"suffix":""},{"dropping-particle":"","family":"Azuma","given":"Katsuki","non-dropping-particle":"","parse-names":false,"suffix":""},{"dropping-particle":"","family":"Yasoshima","given":"Kohichi","non-dropping-particle":"","parse-names":false,"suffix":""},{"dropping-particle":"","family":"Sawada","given":"Yoko","non-dropping-particle":"","parse-names":false,"suffix":""},{"dropping-particle":"","family":"Uetsuji","given":"Kazuyuki","non-dropping-particle":"","parse-names":false,"suffix":""},{"dropping-particle":"","family":"Tsuchida","given":"Akira","non-dropping-particle":"","parse-names":false,"suffix":""},{"dropping-particle":"","family":"Tsuchiyama","given":"Akira","non-dropping-particle":"","parse-names":false,"suffix":""},{"dropping-particle":"","family":"Yasuda","given":"Kazue","non-dropping-particle":"","parse-names":false,"suffix":""},{"dropping-particle":"","family":"Odagawa","given":"Yasuhisa","non-dropping-particle":"","parse-names":false,"suffix":""},{"dropping-particle":"","family":"Yoshioka","given":"Mikio","non-dropping-particle":"","parse-names":false,"suffix":""}],"container-title":"Journal of Infection and Chemotherapy","id":"ITEM-1","issue":"6","issued":{"date-parts":[["2018"]]},"page":"449-457","title":"Clinical effectiveness of four neuraminidase inhibitors (oseltamivir, zanamivir, laninamivir, and peramivir) for children with influenza A and B in the 2014–2015 to 2016–2017 influenza seasons in Japan","type":"article-journal","volume":"24"},"uris":["http://www.mendeley.com/documents/?uuid=ed5a1c15-dd00-4992-a2fe-43eb73dfbfc3","http://www.mendeley.com/documents/?uuid=254dbabd-fe64-4c57-abe4-5158366f608a"]}],"mendeley":{"formattedCitation":"[27]","manualFormatting":"27]","plainTextFormattedCitation":"[27]","previouslyFormattedCitation":"[27]"},"properties":{"noteIndex":0},"schema":"https://github.com/citation-style-language/schema/raw/master/csl-citation.json"}</w:instrText>
      </w:r>
      <w:r w:rsidR="00FC1B6A" w:rsidRPr="00925C57">
        <w:fldChar w:fldCharType="separate"/>
      </w:r>
      <w:r w:rsidR="00347A50" w:rsidRPr="00925C57">
        <w:t>27]</w:t>
      </w:r>
      <w:r w:rsidR="00FC1B6A" w:rsidRPr="00925C57">
        <w:fldChar w:fldCharType="end"/>
      </w:r>
      <w:r w:rsidR="003410A2" w:rsidRPr="00925C57">
        <w:t>.</w:t>
      </w:r>
      <w:r w:rsidRPr="00925C57">
        <w:t xml:space="preserve"> In particular, Takemoto et al.</w:t>
      </w:r>
      <w:r w:rsidR="00BE48C4" w:rsidRPr="00925C57">
        <w:t xml:space="preserve"> </w:t>
      </w:r>
      <w:r w:rsidR="004D6E1F" w:rsidRPr="00925C57">
        <w:fldChar w:fldCharType="begin" w:fldLock="1"/>
      </w:r>
      <w:r w:rsidR="00347A50" w:rsidRPr="00925C57">
        <w:instrText>ADDIN CSL_CITATION {"citationItems":[{"id":"ITEM-1","itemData":{"DOI":"10.1159/000362436","ISSN":"14219794","PMID":"24821568","abstract":"Background: The neuraminidase inhibitors (NAIs) oseltamivir, zanamivir, laninamivir and peramivir are available in Japan. However, the selective use of NAIs for treating outpatients with influenza has not been clearly defined. Methods: We assigned 191 patients with influenza to 4 groups, each treated with a different NAI, and then compared how long it took to alleviate fever and other symptoms and to eliminate the virus. Results: Alleviation of fever occurred significantly sooner with peramivir than with either zanamivir (p = 0.0002) or oseltamivir (p = 0.0059), but was not significantly different from that with laninamivir (p = 0.0457; p &lt; 0.0083). Other symptoms were also alleviated sooner by peramivir than by the other 3 NAIs. Conclusions: The ability of each NAI to alleviate influenza symptoms and fever varied. The appropriate use of NAIs requires further study. © 2014 S. Karger AG, Basel.","author":[{"dropping-particle":"","family":"Takemoto","given":"Yuji","non-dropping-particle":"","parse-names":false,"suffix":""},{"dropping-particle":"","family":"Asai","given":"Teizaburo","non-dropping-particle":"","parse-names":false,"suffix":""},{"dropping-particle":"","family":"Ikezoe","given":"Itsuo","non-dropping-particle":"","parse-names":false,"suffix":""},{"dropping-particle":"","family":"Yano","given":"Takako","non-dropping-particle":"","parse-names":false,"suffix":""},{"dropping-particle":"","family":"Ichikawa","given":"Masahiro","non-dropping-particle":"","parse-names":false,"suffix":""},{"dropping-particle":"","family":"Miyagawa","given":"Shogo","non-dropping-particle":"","parse-names":false,"suffix":""},{"dropping-particle":"","family":"Matsumoto","given":"Jun","non-dropping-particle":"","parse-names":false,"suffix":""}],"container-title":"Chemotherapy","id":"ITEM-1","issue":"5","issued":{"date-parts":[["2014"]]},"page":"373-378","title":"Clinical effects of oseltamivir, zanamivir, laninamivir and peramivir on seasonal influenza infection in outpatients in Japan during the winter of 2012-2013","type":"article-journal","volume":"59"},"uris":["http://www.mendeley.com/documents/?uuid=7d279de7-58b5-46e6-9910-00c1b3c14119","http://www.mendeley.com/documents/?uuid=1bd137cd-196e-4037-8d32-3478c85f9466"]}],"mendeley":{"formattedCitation":"[26]","plainTextFormattedCitation":"[26]","previouslyFormattedCitation":"[26]"},"properties":{"noteIndex":0},"schema":"https://github.com/citation-style-language/schema/raw/master/csl-citation.json"}</w:instrText>
      </w:r>
      <w:r w:rsidR="004D6E1F" w:rsidRPr="00925C57">
        <w:fldChar w:fldCharType="separate"/>
      </w:r>
      <w:r w:rsidR="00347A50" w:rsidRPr="00925C57">
        <w:t>[26]</w:t>
      </w:r>
      <w:r w:rsidR="004D6E1F" w:rsidRPr="00925C57">
        <w:fldChar w:fldCharType="end"/>
      </w:r>
      <w:r w:rsidRPr="00925C57">
        <w:t xml:space="preserve"> studied the clinical effectiveness of the above-mentioned NA inhibitors by treating 191 influenza-infected patients during the winter of 2012-2013 in Japan. The results revealed that Peramivir performed better in reducing the fever as well as alleviating other influenza symptoms compared to Oseltamivir, Zanamivir an</w:t>
      </w:r>
      <w:r w:rsidR="007F228B" w:rsidRPr="00925C57">
        <w:t>d Laninamivir</w:t>
      </w:r>
      <w:r w:rsidR="00BE48C4" w:rsidRPr="00925C57">
        <w:t xml:space="preserve"> </w:t>
      </w:r>
      <w:r w:rsidR="007F228B" w:rsidRPr="00925C57">
        <w:fldChar w:fldCharType="begin" w:fldLock="1"/>
      </w:r>
      <w:r w:rsidR="00347A50" w:rsidRPr="00925C57">
        <w:instrText>ADDIN CSL_CITATION {"citationItems":[{"id":"ITEM-1","itemData":{"DOI":"10.1159/000362436","ISSN":"14219794","PMID":"24821568","abstract":"Background: The neuraminidase inhibitors (NAIs) oseltamivir, zanamivir, laninamivir and peramivir are available in Japan. However, the selective use of NAIs for treating outpatients with influenza has not been clearly defined. Methods: We assigned 191 patients with influenza to 4 groups, each treated with a different NAI, and then compared how long it took to alleviate fever and other symptoms and to eliminate the virus. Results: Alleviation of fever occurred significantly sooner with peramivir than with either zanamivir (p = 0.0002) or oseltamivir (p = 0.0059), but was not significantly different from that with laninamivir (p = 0.0457; p &lt; 0.0083). Other symptoms were also alleviated sooner by peramivir than by the other 3 NAIs. Conclusions: The ability of each NAI to alleviate influenza symptoms and fever varied. The appropriate use of NAIs requires further study. © 2014 S. Karger AG, Basel.","author":[{"dropping-particle":"","family":"Takemoto","given":"Yuji","non-dropping-particle":"","parse-names":false,"suffix":""},{"dropping-particle":"","family":"Asai","given":"Teizaburo","non-dropping-particle":"","parse-names":false,"suffix":""},{"dropping-particle":"","family":"Ikezoe","given":"Itsuo","non-dropping-particle":"","parse-names":false,"suffix":""},{"dropping-particle":"","family":"Yano","given":"Takako","non-dropping-particle":"","parse-names":false,"suffix":""},{"dropping-particle":"","family":"Ichikawa","given":"Masahiro","non-dropping-particle":"","parse-names":false,"suffix":""},{"dropping-particle":"","family":"Miyagawa","given":"Shogo","non-dropping-particle":"","parse-names":false,"suffix":""},{"dropping-particle":"","family":"Matsumoto","given":"Jun","non-dropping-particle":"","parse-names":false,"suffix":""}],"container-title":"Chemotherapy","id":"ITEM-1","issue":"5","issued":{"date-parts":[["2014"]]},"page":"373-378","title":"Clinical effects of oseltamivir, zanamivir, laninamivir and peramivir on seasonal influenza infection in outpatients in Japan during the winter of 2012-2013","type":"article-journal","volume":"59"},"uris":["http://www.mendeley.com/documents/?uuid=7d279de7-58b5-46e6-9910-00c1b3c14119","http://www.mendeley.com/documents/?uuid=1bd137cd-196e-4037-8d32-3478c85f9466"]}],"mendeley":{"formattedCitation":"[26]","plainTextFormattedCitation":"[26]","previouslyFormattedCitation":"[26]"},"properties":{"noteIndex":0},"schema":"https://github.com/citation-style-language/schema/raw/master/csl-citation.json"}</w:instrText>
      </w:r>
      <w:r w:rsidR="007F228B" w:rsidRPr="00925C57">
        <w:fldChar w:fldCharType="separate"/>
      </w:r>
      <w:r w:rsidR="00347A50" w:rsidRPr="00925C57">
        <w:t>[26]</w:t>
      </w:r>
      <w:r w:rsidR="007F228B" w:rsidRPr="00925C57">
        <w:fldChar w:fldCharType="end"/>
      </w:r>
      <w:r w:rsidR="00BE48C4" w:rsidRPr="00925C57">
        <w:t>.</w:t>
      </w:r>
      <w:r w:rsidRPr="00925C57">
        <w:t xml:space="preserve"> Similarly, Ishig</w:t>
      </w:r>
      <w:r w:rsidR="00DD5739" w:rsidRPr="00925C57">
        <w:t>u</w:t>
      </w:r>
      <w:r w:rsidR="007F228B" w:rsidRPr="00925C57">
        <w:t>ro and co-workers</w:t>
      </w:r>
      <w:r w:rsidR="00BE48C4" w:rsidRPr="00925C57">
        <w:t xml:space="preserve"> </w:t>
      </w:r>
      <w:r w:rsidR="007F228B" w:rsidRPr="00925C57">
        <w:fldChar w:fldCharType="begin" w:fldLock="1"/>
      </w:r>
      <w:r w:rsidR="00347A50" w:rsidRPr="00925C57">
        <w:instrText>ADDIN CSL_CITATION {"citationItems":[{"id":"ITEM-1","itemData":{"DOI":"10.1016/j.jiac.2018.01.013","ISSN":"14377780","PMID":"29487035","abstract":"The clinical effectiveness of four neuraminidase inhibitors (NAIs) (oseltamivir, zanamivir, laninamivir, and peramivir) for children aged 0 months to 18 years with influenza A and B were investigated in the 2014–2015 to 2016–2017 influenza seasons in Japan. A total of 1207 patients (747 with influenza A and 460 with influenza B) were enrolled. The Cox proportional-hazards model using all of the patients showed that the duration of fever after administration of the first dose of the NAI was shorter in older patients (hazard ratio = 1.06 per 1 year of age, p &lt; 0.001) and that the duration of fever after administration of the first dose of the NAI was shorter in patients with influenza A infection than in patients with influenza B infection (hazard ratio = 2.21, p &lt; 0.001). A logistic regression model showed that the number of biphasic fever episodes was 2.99-times greater for influenza B-infected patients than for influenza A-infected patients (p &lt; 0.001). The number of biphasic fever episodes in influenza A- or B-infected patients aged 0–4 years was 2.89-times greater than that in patients aged 10–18 years (p = 0.010), and the number of episodes in influenza A- or B-infected patients aged 5–9 years was 2.13-times greater than that in patients aged 10–18 years (p = 0.012).","author":[{"dropping-particle":"","family":"Ishiguro","given":"Nobuhisa","non-dropping-particle":"","parse-names":false,"suffix":""},{"dropping-particle":"","family":"Koseki","given":"Naoko","non-dropping-particle":"","parse-names":false,"suffix":""},{"dropping-particle":"","family":"Kaiho","given":"Miki","non-dropping-particle":"","parse-names":false,"suffix":""},{"dropping-particle":"","family":"Ariga","given":"Tadashi","non-dropping-particle":"","parse-names":false,"suffix":""},{"dropping-particle":"","family":"Kikuta","given":"Hideaki","non-dropping-particle":"","parse-names":false,"suffix":""},{"dropping-particle":"","family":"Oba","given":"Koji","non-dropping-particle":"","parse-names":false,"suffix":""},{"dropping-particle":"","family":"Togashi","given":"Takehiro","non-dropping-particle":"","parse-names":false,"suffix":""},{"dropping-particle":"","family":"Morita","given":"Keisuke","non-dropping-particle":"","parse-names":false,"suffix":""},{"dropping-particle":"","family":"Inagawa","given":"Akira","non-dropping-particle":"","parse-names":false,"suffix":""},{"dropping-particle":"","family":"Okamura","given":"Akiko","non-dropping-particle":"","parse-names":false,"suffix":""},{"dropping-particle":"","family":"Yamazaki","given":"Shigeru","non-dropping-particle":"","parse-names":false,"suffix":""},{"dropping-particle":"","family":"Shida","given":"Satoru","non-dropping-particle":"","parse-names":false,"suffix":""},{"dropping-particle":"","family":"Konno","given":"Mutsuko","non-dropping-particle":"","parse-names":false,"suffix":""},{"dropping-particle":"","family":"Kawamura","given":"Nobuaki","non-dropping-particle":"","parse-names":false,"suffix":""},{"dropping-particle":"","family":"Ishizaka","given":"Akihito","non-dropping-particle":"","parse-names":false,"suffix":""},{"dropping-particle":"","family":"Takada","given":"Kimihiko","non-dropping-particle":"","parse-names":false,"suffix":""},{"dropping-particle":"","family":"Tsubakihara","given":"Keiji","non-dropping-particle":"","parse-names":false,"suffix":""},{"dropping-particle":"","family":"Nagano","given":"Naoko","non-dropping-particle":"","parse-names":false,"suffix":""},{"dropping-particle":"","family":"Shibata","given":"Mutsuo","non-dropping-particle":"","parse-names":false,"suffix":""},{"dropping-particle":"","family":"Furuyama","given":"Hideto","non-dropping-particle":"","parse-names":false,"suffix":""},{"dropping-particle":"","family":"Matsuzono","given":"Yoshihiro","non-dropping-particle":"","parse-names":false,"suffix":""},{"dropping-particle":"","family":"Koike","given":"Akemi","non-dropping-particle":"","parse-names":false,"suffix":""},{"dropping-particle":"","family":"Murashita","given":"Mari","non-dropping-particle":"","parse-names":false,"suffix":""},{"dropping-particle":"","family":"Hatae","given":"Yoshio","non-dropping-particle":"","parse-names":false,"suffix":""},{"dropping-particle":"","family":"Arioka","given":"Hideki","non-dropping-particle":"","parse-names":false,"suffix":""},{"dropping-particle":"","family":"Yamanaka","given":"Tatsuru","non-dropping-particle":"","parse-names":false,"suffix":""},{"dropping-particle":"","family":"Watanabe","given":"Toru","non-dropping-particle":"","parse-names":false,"suffix":""},{"dropping-particle":"","family":"Tabata","given":"Yuuichi","non-dropping-particle":"","parse-names":false,"suffix":""},{"dropping-particle":"","family":"Kumita","given":"Yoshihiro","non-dropping-particle":"","parse-names":false,"suffix":""},{"dropping-particle":"","family":"Hazama","given":"Kyosuke","non-dropping-particle":"","parse-names":false,"suffix":""},{"dropping-particle":"","family":"Akutsu","given":"Yasushi","non-dropping-particle":"","parse-names":false,"suffix":""},{"dropping-particle":"","family":"Aoyagi","given":"Hayato","non-dropping-particle":"","parse-names":false,"suffix":""},{"dropping-particle":"","family":"Tobise","given":"Chie","non-dropping-particle":"","parse-names":false,"suffix":""},{"dropping-particle":"","family":"Azuma","given":"Katsuki","non-dropping-particle":"","parse-names":false,"suffix":""},{"dropping-particle":"","family":"Yasoshima","given":"Kohichi","non-dropping-particle":"","parse-names":false,"suffix":""},{"dropping-particle":"","family":"Sawada","given":"Yoko","non-dropping-particle":"","parse-names":false,"suffix":""},{"dropping-particle":"","family":"Uetsuji","given":"Kazuyuki","non-dropping-particle":"","parse-names":false,"suffix":""},{"dropping-particle":"","family":"Tsuchida","given":"Akira","non-dropping-particle":"","parse-names":false,"suffix":""},{"dropping-particle":"","family":"Tsuchiyama","given":"Akira","non-dropping-particle":"","parse-names":false,"suffix":""},{"dropping-particle":"","family":"Yasuda","given":"Kazue","non-dropping-particle":"","parse-names":false,"suffix":""},{"dropping-particle":"","family":"Odagawa","given":"Yasuhisa","non-dropping-particle":"","parse-names":false,"suffix":""},{"dropping-particle":"","family":"Yoshioka","given":"Mikio","non-dropping-particle":"","parse-names":false,"suffix":""}],"container-title":"Journal of Infection and Chemotherapy","id":"ITEM-1","issue":"6","issued":{"date-parts":[["2018"]]},"page":"449-457","title":"Clinical effectiveness of four neuraminidase inhibitors (oseltamivir, zanamivir, laninamivir, and peramivir) for children with influenza A and B in the 2014–2015 to 2016–2017 influenza seasons in Japan","type":"article-journal","volume":"24"},"uris":["http://www.mendeley.com/documents/?uuid=254dbabd-fe64-4c57-abe4-5158366f608a","http://www.mendeley.com/documents/?uuid=ed5a1c15-dd00-4992-a2fe-43eb73dfbfc3"]}],"mendeley":{"formattedCitation":"[27]","plainTextFormattedCitation":"[27]","previouslyFormattedCitation":"[27]"},"properties":{"noteIndex":0},"schema":"https://github.com/citation-style-language/schema/raw/master/csl-citation.json"}</w:instrText>
      </w:r>
      <w:r w:rsidR="007F228B" w:rsidRPr="00925C57">
        <w:fldChar w:fldCharType="separate"/>
      </w:r>
      <w:r w:rsidR="00347A50" w:rsidRPr="00925C57">
        <w:t>[27]</w:t>
      </w:r>
      <w:r w:rsidR="007F228B" w:rsidRPr="00925C57">
        <w:fldChar w:fldCharType="end"/>
      </w:r>
      <w:r w:rsidRPr="00925C57">
        <w:t xml:space="preserve"> studied the effect of these inhibitors in children with influenza types of A and B. The study indicates</w:t>
      </w:r>
      <w:r w:rsidR="009053F6">
        <w:t xml:space="preserve"> </w:t>
      </w:r>
      <w:r w:rsidRPr="00925C57">
        <w:t>the effectiveness of drugs in the case of treatment of influenza in elder children rather than in younger ones showing shorter recovery time in patients with type A virus com</w:t>
      </w:r>
      <w:r w:rsidR="007F228B" w:rsidRPr="00925C57">
        <w:t>pared to those with type B</w:t>
      </w:r>
      <w:r w:rsidR="00BE48C4" w:rsidRPr="00925C57">
        <w:t xml:space="preserve"> </w:t>
      </w:r>
      <w:r w:rsidR="007F228B" w:rsidRPr="00925C57">
        <w:fldChar w:fldCharType="begin" w:fldLock="1"/>
      </w:r>
      <w:r w:rsidR="00347A50" w:rsidRPr="00925C57">
        <w:instrText>ADDIN CSL_CITATION {"citationItems":[{"id":"ITEM-1","itemData":{"DOI":"10.1016/j.jiac.2018.01.013","ISSN":"14377780","PMID":"29487035","abstract":"The clinical effectiveness of four neuraminidase inhibitors (NAIs) (oseltamivir, zanamivir, laninamivir, and peramivir) for children aged 0 months to 18 years with influenza A and B were investigated in the 2014–2015 to 2016–2017 influenza seasons in Japan. A total of 1207 patients (747 with influenza A and 460 with influenza B) were enrolled. The Cox proportional-hazards model using all of the patients showed that the duration of fever after administration of the first dose of the NAI was shorter in older patients (hazard ratio = 1.06 per 1 year of age, p &lt; 0.001) and that the duration of fever after administration of the first dose of the NAI was shorter in patients with influenza A infection than in patients with influenza B infection (hazard ratio = 2.21, p &lt; 0.001). A logistic regression model showed that the number of biphasic fever episodes was 2.99-times greater for influenza B-infected patients than for influenza A-infected patients (p &lt; 0.001). The number of biphasic fever episodes in influenza A- or B-infected patients aged 0–4 years was 2.89-times greater than that in patients aged 10–18 years (p = 0.010), and the number of episodes in influenza A- or B-infected patients aged 5–9 years was 2.13-times greater than that in patients aged 10–18 years (p = 0.012).","author":[{"dropping-particle":"","family":"Ishiguro","given":"Nobuhisa","non-dropping-particle":"","parse-names":false,"suffix":""},{"dropping-particle":"","family":"Koseki","given":"Naoko","non-dropping-particle":"","parse-names":false,"suffix":""},{"dropping-particle":"","family":"Kaiho","given":"Miki","non-dropping-particle":"","parse-names":false,"suffix":""},{"dropping-particle":"","family":"Ariga","given":"Tadashi","non-dropping-particle":"","parse-names":false,"suffix":""},{"dropping-particle":"","family":"Kikuta","given":"Hideaki","non-dropping-particle":"","parse-names":false,"suffix":""},{"dropping-particle":"","family":"Oba","given":"Koji","non-dropping-particle":"","parse-names":false,"suffix":""},{"dropping-particle":"","family":"Togashi","given":"Takehiro","non-dropping-particle":"","parse-names":false,"suffix":""},{"dropping-particle":"","family":"Morita","given":"Keisuke","non-dropping-particle":"","parse-names":false,"suffix":""},{"dropping-particle":"","family":"Inagawa","given":"Akira","non-dropping-particle":"","parse-names":false,"suffix":""},{"dropping-particle":"","family":"Okamura","given":"Akiko","non-dropping-particle":"","parse-names":false,"suffix":""},{"dropping-particle":"","family":"Yamazaki","given":"Shigeru","non-dropping-particle":"","parse-names":false,"suffix":""},{"dropping-particle":"","family":"Shida","given":"Satoru","non-dropping-particle":"","parse-names":false,"suffix":""},{"dropping-particle":"","family":"Konno","given":"Mutsuko","non-dropping-particle":"","parse-names":false,"suffix":""},{"dropping-particle":"","family":"Kawamura","given":"Nobuaki","non-dropping-particle":"","parse-names":false,"suffix":""},{"dropping-particle":"","family":"Ishizaka","given":"Akihito","non-dropping-particle":"","parse-names":false,"suffix":""},{"dropping-particle":"","family":"Takada","given":"Kimihiko","non-dropping-particle":"","parse-names":false,"suffix":""},{"dropping-particle":"","family":"Tsubakihara","given":"Keiji","non-dropping-particle":"","parse-names":false,"suffix":""},{"dropping-particle":"","family":"Nagano","given":"Naoko","non-dropping-particle":"","parse-names":false,"suffix":""},{"dropping-particle":"","family":"Shibata","given":"Mutsuo","non-dropping-particle":"","parse-names":false,"suffix":""},{"dropping-particle":"","family":"Furuyama","given":"Hideto","non-dropping-particle":"","parse-names":false,"suffix":""},{"dropping-particle":"","family":"Matsuzono","given":"Yoshihiro","non-dropping-particle":"","parse-names":false,"suffix":""},{"dropping-particle":"","family":"Koike","given":"Akemi","non-dropping-particle":"","parse-names":false,"suffix":""},{"dropping-particle":"","family":"Murashita","given":"Mari","non-dropping-particle":"","parse-names":false,"suffix":""},{"dropping-particle":"","family":"Hatae","given":"Yoshio","non-dropping-particle":"","parse-names":false,"suffix":""},{"dropping-particle":"","family":"Arioka","given":"Hideki","non-dropping-particle":"","parse-names":false,"suffix":""},{"dropping-particle":"","family":"Yamanaka","given":"Tatsuru","non-dropping-particle":"","parse-names":false,"suffix":""},{"dropping-particle":"","family":"Watanabe","given":"Toru","non-dropping-particle":"","parse-names":false,"suffix":""},{"dropping-particle":"","family":"Tabata","given":"Yuuichi","non-dropping-particle":"","parse-names":false,"suffix":""},{"dropping-particle":"","family":"Kumita","given":"Yoshihiro","non-dropping-particle":"","parse-names":false,"suffix":""},{"dropping-particle":"","family":"Hazama","given":"Kyosuke","non-dropping-particle":"","parse-names":false,"suffix":""},{"dropping-particle":"","family":"Akutsu","given":"Yasushi","non-dropping-particle":"","parse-names":false,"suffix":""},{"dropping-particle":"","family":"Aoyagi","given":"Hayato","non-dropping-particle":"","parse-names":false,"suffix":""},{"dropping-particle":"","family":"Tobise","given":"Chie","non-dropping-particle":"","parse-names":false,"suffix":""},{"dropping-particle":"","family":"Azuma","given":"Katsuki","non-dropping-particle":"","parse-names":false,"suffix":""},{"dropping-particle":"","family":"Yasoshima","given":"Kohichi","non-dropping-particle":"","parse-names":false,"suffix":""},{"dropping-particle":"","family":"Sawada","given":"Yoko","non-dropping-particle":"","parse-names":false,"suffix":""},{"dropping-particle":"","family":"Uetsuji","given":"Kazuyuki","non-dropping-particle":"","parse-names":false,"suffix":""},{"dropping-particle":"","family":"Tsuchida","given":"Akira","non-dropping-particle":"","parse-names":false,"suffix":""},{"dropping-particle":"","family":"Tsuchiyama","given":"Akira","non-dropping-particle":"","parse-names":false,"suffix":""},{"dropping-particle":"","family":"Yasuda","given":"Kazue","non-dropping-particle":"","parse-names":false,"suffix":""},{"dropping-particle":"","family":"Odagawa","given":"Yasuhisa","non-dropping-particle":"","parse-names":false,"suffix":""},{"dropping-particle":"","family":"Yoshioka","given":"Mikio","non-dropping-particle":"","parse-names":false,"suffix":""}],"container-title":"Journal of Infection and Chemotherapy","id":"ITEM-1","issue":"6","issued":{"date-parts":[["2018"]]},"page":"449-457","title":"Clinical effectiveness of four neuraminidase inhibitors (oseltamivir, zanamivir, laninamivir, and peramivir) for children with influenza A and B in the 2014–2015 to 2016–2017 influenza seasons in Japan","type":"article-journal","volume":"24"},"uris":["http://www.mendeley.com/documents/?uuid=254dbabd-fe64-4c57-abe4-5158366f608a","http://www.mendeley.com/documents/?uuid=ed5a1c15-dd00-4992-a2fe-43eb73dfbfc3"]}],"mendeley":{"formattedCitation":"[27]","plainTextFormattedCitation":"[27]","previouslyFormattedCitation":"[27]"},"properties":{"noteIndex":0},"schema":"https://github.com/citation-style-language/schema/raw/master/csl-citation.json"}</w:instrText>
      </w:r>
      <w:r w:rsidR="007F228B" w:rsidRPr="00925C57">
        <w:fldChar w:fldCharType="separate"/>
      </w:r>
      <w:r w:rsidR="00347A50" w:rsidRPr="00925C57">
        <w:t>[27]</w:t>
      </w:r>
      <w:r w:rsidR="007F228B" w:rsidRPr="00925C57">
        <w:fldChar w:fldCharType="end"/>
      </w:r>
      <w:r w:rsidR="00BE48C4" w:rsidRPr="00925C57">
        <w:t>.</w:t>
      </w:r>
    </w:p>
    <w:p w14:paraId="73C07696" w14:textId="46DD5EE6" w:rsidR="003E7499" w:rsidRPr="00925C57" w:rsidRDefault="00915ECA" w:rsidP="0079274B">
      <w:pPr>
        <w:pStyle w:val="MDPI31text"/>
      </w:pPr>
      <w:r w:rsidRPr="00925C57">
        <w:t>Independent e</w:t>
      </w:r>
      <w:r w:rsidR="006561A1" w:rsidRPr="00925C57">
        <w:t>xp</w:t>
      </w:r>
      <w:r w:rsidR="00EF0F80" w:rsidRPr="00925C57">
        <w:t>erimental reports also underpin</w:t>
      </w:r>
      <w:r w:rsidR="006561A1" w:rsidRPr="00925C57">
        <w:t xml:space="preserve"> </w:t>
      </w:r>
      <w:r w:rsidRPr="00925C57">
        <w:t>our modeling result</w:t>
      </w:r>
      <w:r w:rsidR="009053F6">
        <w:t>s</w:t>
      </w:r>
      <w:r w:rsidRPr="00925C57">
        <w:t xml:space="preserve"> </w:t>
      </w:r>
      <w:r w:rsidR="002F4205" w:rsidRPr="00925C57">
        <w:t xml:space="preserve">indicating </w:t>
      </w:r>
      <w:r w:rsidR="006561A1" w:rsidRPr="00925C57">
        <w:t xml:space="preserve">that </w:t>
      </w:r>
      <w:r w:rsidRPr="00925C57">
        <w:t>NA is more resistant to Oseltamivir than Peramivir, Zanamivir and L</w:t>
      </w:r>
      <w:r w:rsidR="00080027" w:rsidRPr="00925C57">
        <w:t>aninamivir</w:t>
      </w:r>
      <w:r w:rsidR="00BE48C4" w:rsidRPr="00925C57">
        <w:t xml:space="preserve"> </w:t>
      </w:r>
      <w:r w:rsidR="0009347C" w:rsidRPr="00925C57">
        <w:fldChar w:fldCharType="begin" w:fldLock="1"/>
      </w:r>
      <w:r w:rsidR="00347A50" w:rsidRPr="00925C57">
        <w:instrText>ADDIN CSL_CITATION {"citationItems":[{"id":"ITEM-1","itemData":{"DOI":"10.7150/ijms.10826","ISSN":"14491907","PMID":"25589893","abstract":"Influenza virus H7N9 foremost emerged in China in 2013 and killed hundreds of people in Asia since they possessed all mutations that enable them to resist to all existing influenza drugs, resulting in high mortality to human. In the effort to identify novel inhibitors combat resistant strains of influenza virus H7N9; we performed virtual screening targeting the Neuraminidase (NA) protein against natural compounds of traditional Chinese medicine database (TCM) and ZINC natural products. Compounds expressed high binding affinity to the target protein was then evaluated for molecular properties to determine drug-like molecules. 4 compounds showed their binding energy less than -11Kcal/mol were selected for molecular dynamics (MD) simulation to capture intermolecular interactions of ligand-protein complexes. The molecular mechan-ics/Poisson-Boltzmann surface area (MM/PBSA) method was utilized to estimate binding free energy of the complex. In term of stability, NA-7181 (IUPAC namely {9-Hydroxy-10-[3-(trifluoromrthyl) cyclohexyl]-4.8-diazatricyclo [6.4.0.02,6]dodec-4-yl}(perhydro-1H-inden-5-yl) formaldehyde) achieved stable conformation after 20ns and 27ns for ligand and protein root mean square deviation, respectively. In term of binding free energy, 7181 gave the negative value of -30.031 (KJ/mol) indicating the compound obtained a favourable state in the active site of the protein.","author":[{"dropping-particle":"","family":"Tran","given":"Nhut","non-dropping-particle":"","parse-names":false,"suffix":""},{"dropping-particle":"","family":"Van","given":"Thanh","non-dropping-particle":"","parse-names":false,"suffix":""},{"dropping-particle":"","family":"Nguyen","given":"Hieu","non-dropping-particle":"","parse-names":false,"suffix":""},{"dropping-particle":"","family":"Le","given":"Ly","non-dropping-particle":"","parse-names":false,"suffix":""}],"container-title":"International Journal of Medical Sciences","id":"ITEM-1","issue":"2","issued":{"date-parts":[["2015"]]},"page":"163-176","title":"Identification of novel compounds against an R294K substitution of influenza A (H7N9) virus using ensemble based drug virtual screening","type":"article-journal","volume":"12"},"uris":["http://www.mendeley.com/documents/?uuid=e63ecc24-84ed-4ac3-ab12-3ba919a26bf8","http://www.mendeley.com/documents/?uuid=20e1d3e0-d721-4a7c-b55a-f51f599fd282"]}],"mendeley":{"formattedCitation":"[28]","plainTextFormattedCitation":"[28]","previouslyFormattedCitation":"[28]"},"properties":{"noteIndex":0},"schema":"https://github.com/citation-style-language/schema/raw/master/csl-citation.json"}</w:instrText>
      </w:r>
      <w:r w:rsidR="0009347C" w:rsidRPr="00925C57">
        <w:fldChar w:fldCharType="separate"/>
      </w:r>
      <w:r w:rsidR="00347A50" w:rsidRPr="00925C57">
        <w:t>[28]</w:t>
      </w:r>
      <w:r w:rsidR="0009347C" w:rsidRPr="00925C57">
        <w:fldChar w:fldCharType="end"/>
      </w:r>
      <w:r w:rsidR="00BE48C4" w:rsidRPr="00925C57">
        <w:t>.</w:t>
      </w:r>
      <w:r w:rsidR="00BC7589" w:rsidRPr="00925C57">
        <w:t xml:space="preserve"> He</w:t>
      </w:r>
      <w:r w:rsidR="0039492F" w:rsidRPr="00925C57">
        <w:t xml:space="preserve"> </w:t>
      </w:r>
      <w:r w:rsidR="006561A1" w:rsidRPr="00925C57">
        <w:t>et al.</w:t>
      </w:r>
      <w:r w:rsidR="003410A2" w:rsidRPr="00925C57">
        <w:t xml:space="preserve"> </w:t>
      </w:r>
      <w:r w:rsidR="0009347C" w:rsidRPr="00925C57">
        <w:fldChar w:fldCharType="begin" w:fldLock="1"/>
      </w:r>
      <w:r w:rsidR="00347A50" w:rsidRPr="00925C57">
        <w:instrText>ADDIN CSL_CITATION {"citationItems":[{"id":"ITEM-1","itemData":{"DOI":"10.2147/DDDT.S74061","ISSN":"11778881","PMID":"25489236","abstract":"Background: After the first epidemic wave from February through May 2013, the influenza A (H7N9) virus emerged and has followed a second epidemic wave since June 2013. As of June 27, 2014, the outbreak of H7N9 had caused 450 confirmed cases of human infection, with 165 deaths included. The case-fatality rate of all confirmed cases is about 36%, making the H7N9 virus a significant threat to people's health. At present, neuraminidase inhibitors are the only licensed antiviral medications available to treat H7N9 infections in humans. Oseltamivir is the most commonly used inhibitor, and it is also a front-line drug for the threatening H7N9. Unfortunately, it has been reported that patients treated with oseltamivir can induce R294K (Arg294Lys) substitution in the H7N9 virus, which is a rare mutation and can reduce the antiviral efficacy of inhibitors. Even worse, deaths caused by such mutation after oseltamivir treatment have already been reported, indicating that the need to find substitutive neuraminidase inhibitors for currently available drugs to treat drug-resistant H7N9 is really pressing.\nMaterials and methods: First, the structure of H7N9 containing the R294K substitution was downloaded from the Protein Data Bank, and structural information of approved drugs was downloaded from the ZINC (ZINC Is Not Commercial) database. Taking oseltamivir carboxylate as a reference drug, we then filtered these molecules through virtual screening to find out potential inhibitors targeting the mutated H7N9 virus. For further evaluation, we carried out a 14 ns molecular dynamic simulation for each H7N9–drug complex and calculated the binding energy for each candidate drug.\nResults: We found five inhibitors that could be candidate drugs for treating the mutated H7N9 virus. Docking poses showed these drugs could bind to the virus effectively, with the contribution of hydrogen bonds and hydrophobic interactions. With regard to the molecular dynamic simulations, receptor–ligand complexes formed by these candidate drugs were more stable than the one formed by oseltamivir carboxylate. The binding energy of oseltamivir carboxylate was –122.4 kJ/mol, while those for these potential inhibitors were –417.5, –404.7, –372.2, –304.3, and –289.9 kJ/mol, much better than the reference drug.\nConclusion: Given the current and future threat of the mutated H7N9 virus, it is urgent that potent drugs and effective antiviral therapeutics be found. Our study therefore is able tocomplement cu…","author":[{"dropping-particle":"","family":"He","given":"Jiao Yu","non-dropping-particle":"","parse-names":false,"suffix":""},{"dropping-particle":"","family":"Li","given":"Cheng","non-dropping-particle":"","parse-names":false,"suffix":""},{"dropping-particle":"","family":"Wu","given":"Guo","non-dropping-particle":"","parse-names":false,"suffix":""}],"container-title":"Drug Design, Development and Therapy","id":"ITEM-1","issued":{"date-parts":[["2014"]]},"page":"2377-2390","title":"Discovery of potential drugs for human-infecting H7N9 virus containing R294K mutation","type":"article-journal","volume":"8"},"uris":["http://www.mendeley.com/documents/?uuid=edb0b9cd-7a9e-44ea-8991-81144d918ce7","http://www.mendeley.com/documents/?uuid=b1f32b8e-3cd9-45d3-965d-03b09550b7c8"]}],"mendeley":{"formattedCitation":"[1]","plainTextFormattedCitation":"[1]","previouslyFormattedCitation":"[1]"},"properties":{"noteIndex":0},"schema":"https://github.com/citation-style-language/schema/raw/master/csl-citation.json"}</w:instrText>
      </w:r>
      <w:r w:rsidR="0009347C" w:rsidRPr="00925C57">
        <w:fldChar w:fldCharType="separate"/>
      </w:r>
      <w:r w:rsidR="00347A50" w:rsidRPr="00925C57">
        <w:t>[1]</w:t>
      </w:r>
      <w:r w:rsidR="0009347C" w:rsidRPr="00925C57">
        <w:fldChar w:fldCharType="end"/>
      </w:r>
      <w:r w:rsidR="006561A1" w:rsidRPr="00925C57">
        <w:t xml:space="preserve"> suggest</w:t>
      </w:r>
      <w:r w:rsidR="0009347C" w:rsidRPr="00925C57">
        <w:t xml:space="preserve"> that L-</w:t>
      </w:r>
      <w:r w:rsidR="006561A1" w:rsidRPr="00925C57">
        <w:t xml:space="preserve"> </w:t>
      </w:r>
      <w:r w:rsidR="0039492F" w:rsidRPr="00925C57">
        <w:t>Arginine</w:t>
      </w:r>
      <w:r w:rsidR="0009347C" w:rsidRPr="00925C57">
        <w:t>,</w:t>
      </w:r>
      <w:r w:rsidR="00085ED2" w:rsidRPr="00925C57">
        <w:t xml:space="preserve"> </w:t>
      </w:r>
      <w:r w:rsidR="00E40FFA" w:rsidRPr="00925C57">
        <w:t>Z</w:t>
      </w:r>
      <w:r w:rsidR="0039492F" w:rsidRPr="00925C57">
        <w:t>anamivir and Ben</w:t>
      </w:r>
      <w:r w:rsidR="005B000F">
        <w:t>s</w:t>
      </w:r>
      <w:r w:rsidR="0039492F" w:rsidRPr="00925C57">
        <w:t>e</w:t>
      </w:r>
      <w:r w:rsidR="006561A1" w:rsidRPr="00925C57">
        <w:t>razide hydrochloride may act as</w:t>
      </w:r>
      <w:r w:rsidR="0039492F" w:rsidRPr="00925C57">
        <w:t xml:space="preserve"> potential</w:t>
      </w:r>
      <w:r w:rsidR="003410A2" w:rsidRPr="00925C57">
        <w:t xml:space="preserve"> </w:t>
      </w:r>
      <w:r w:rsidR="0039492F" w:rsidRPr="00925C57">
        <w:t>H7N9 NA inhibitors than Oseltamivir carboxylate fo</w:t>
      </w:r>
      <w:r w:rsidR="0009347C" w:rsidRPr="00925C57">
        <w:t>r virus carrying R294K mutation</w:t>
      </w:r>
      <w:r w:rsidR="006561A1" w:rsidRPr="00925C57">
        <w:t xml:space="preserve">, </w:t>
      </w:r>
      <w:r w:rsidR="00912F7F" w:rsidRPr="00925C57">
        <w:t>and this</w:t>
      </w:r>
      <w:r w:rsidR="006561A1" w:rsidRPr="00925C57">
        <w:t xml:space="preserve"> strongly supports the data and coincides with our present investigation </w:t>
      </w:r>
      <w:r w:rsidR="007C6C8B" w:rsidRPr="00925C57">
        <w:t xml:space="preserve">concerning other mutants </w:t>
      </w:r>
      <w:r w:rsidR="006561A1" w:rsidRPr="00925C57">
        <w:t>wit</w:t>
      </w:r>
      <w:r w:rsidR="007C6C8B" w:rsidRPr="00925C57">
        <w:t>h respect to drug binding affinity</w:t>
      </w:r>
      <w:r w:rsidR="006561A1" w:rsidRPr="00925C57">
        <w:t xml:space="preserve">. </w:t>
      </w:r>
      <w:r w:rsidR="00AA3BA9" w:rsidRPr="00925C57">
        <w:t>Almost all of H7N9 viruses show resistance to the inhibitor Oseltamivir, but Suzhou strain does remain sensitive to the drug</w:t>
      </w:r>
      <w:r w:rsidR="003410A2" w:rsidRPr="00925C57">
        <w:t xml:space="preserve"> </w:t>
      </w:r>
      <w:r w:rsidR="0009347C" w:rsidRPr="00925C57">
        <w:fldChar w:fldCharType="begin" w:fldLock="1"/>
      </w:r>
      <w:r w:rsidR="00347A50" w:rsidRPr="00925C57">
        <w:instrText>ADDIN CSL_CITATION {"citationItems":[{"id":"ITEM-1","itemData":{"DOI":"10.1007/s11262-018-1534-7","ISSN":"1572994X","PMID":"29404897","abstract":"Human infections with H7N9 viruses can cause severe pneumonia and even death. To characterize the epidemiology and genetics of the H7N9 viruses circulating during from October 2016 to April 2017 in Suzhou, China, all pharyngeal swab samples were collected from severe acute respiratory infections (SARI) cases during this fifth wave of infection, and we amplified the H7N9 H7 and N9 genes using a real-time polymerase chain reaction (PCR). Positive samples were subjected to virus isolation and gene sequencing to analyze the evolution and variation of the H7N9 strains. The epidemiological features of H7N9 patients have not changed and there were no significant mutations in the key sites of the hemagglutinin (HA) gene sequence, but we identified the K526R and E627 K substitutions in the PB2 protein. In the neuraminidase (NA) protein, drug-resistant mutations (R294 K and H276Y) occurred in a few strains. Most of the H7N9 viruses isolated from Suzhou had no drug resistance mutations, but it is necessary to closely monitor and analyze the probable emergence of mutations and the spread of resistant strains. The reduction of the N-glycosylation site at position 42 of NA was observed in some strains.","author":[{"dropping-particle":"","family":"Dong","given":"Zefeng","non-dropping-particle":"","parse-names":false,"suffix":""},{"dropping-particle":"","family":"Xia","given":"Yu","non-dropping-particle":"","parse-names":false,"suffix":""},{"dropping-particle":"","family":"Ya","given":"Xuerong","non-dropping-particle":"","parse-names":false,"suffix":""},{"dropping-particle":"","family":"Chen","given":"Liling","non-dropping-particle":"","parse-names":false,"suffix":""},{"dropping-particle":"","family":"Liu","given":"Cheng","non-dropping-particle":"","parse-names":false,"suffix":""},{"dropping-particle":"","family":"Wang","given":"Ruyan","non-dropping-particle":"","parse-names":false,"suffix":""},{"dropping-particle":"","family":"Shen","given":"Qiang","non-dropping-particle":"","parse-names":false,"suffix":""}],"container-title":"Virus Genes","id":"ITEM-1","issue":"2","issued":{"date-parts":[["2018"]]},"page":"182-189","title":"Epidemiological and genetic characteristics of the fifth avian influenza A(H7N9) wave in Suzhou, China, from October 2016 to April 2017","type":"article-journal","volume":"54"},"uris":["http://www.mendeley.com/documents/?uuid=6acc7632-25fe-473d-bcfe-d3c042d9442b","http://www.mendeley.com/documents/?uuid=0a8505b4-e90a-42fa-8d4a-81fb2d91b82c"]}],"mendeley":{"formattedCitation":"[29]","plainTextFormattedCitation":"[29]","previouslyFormattedCitation":"[29]"},"properties":{"noteIndex":0},"schema":"https://github.com/citation-style-language/schema/raw/master/csl-citation.json"}</w:instrText>
      </w:r>
      <w:r w:rsidR="0009347C" w:rsidRPr="00925C57">
        <w:fldChar w:fldCharType="separate"/>
      </w:r>
      <w:r w:rsidR="00347A50" w:rsidRPr="00925C57">
        <w:t>[29]</w:t>
      </w:r>
      <w:r w:rsidR="0009347C" w:rsidRPr="00925C57">
        <w:fldChar w:fldCharType="end"/>
      </w:r>
      <w:r w:rsidR="00AA3BA9" w:rsidRPr="00925C57">
        <w:t>, thus the strain dependent sensitivity of</w:t>
      </w:r>
      <w:r w:rsidRPr="00925C57">
        <w:t xml:space="preserve"> the drug is a challenge.</w:t>
      </w:r>
    </w:p>
    <w:p w14:paraId="45946717" w14:textId="06178C37" w:rsidR="006E15F8" w:rsidRPr="00925C57" w:rsidRDefault="006E15F8" w:rsidP="0079274B">
      <w:pPr>
        <w:pStyle w:val="MDPI31text"/>
      </w:pPr>
      <w:r w:rsidRPr="00925C57">
        <w:t xml:space="preserve">After careful </w:t>
      </w:r>
      <w:r w:rsidR="00915ECA" w:rsidRPr="00925C57">
        <w:t>evaluation, we f</w:t>
      </w:r>
      <w:r w:rsidR="0046115E">
        <w:t>ou</w:t>
      </w:r>
      <w:r w:rsidR="00915ECA" w:rsidRPr="00925C57">
        <w:t>nd</w:t>
      </w:r>
      <w:r w:rsidRPr="00925C57">
        <w:t xml:space="preserve"> that </w:t>
      </w:r>
      <w:r w:rsidR="00433E06" w:rsidRPr="00925C57">
        <w:t xml:space="preserve">both </w:t>
      </w:r>
      <w:r w:rsidRPr="00925C57">
        <w:t>Peramivir</w:t>
      </w:r>
      <w:r w:rsidR="00433E06" w:rsidRPr="00925C57">
        <w:t xml:space="preserve"> and Zanamivir</w:t>
      </w:r>
      <w:r w:rsidRPr="00925C57">
        <w:t xml:space="preserve"> may act </w:t>
      </w:r>
      <w:r w:rsidR="00915ECA" w:rsidRPr="00925C57">
        <w:t xml:space="preserve">best </w:t>
      </w:r>
      <w:r w:rsidRPr="00925C57">
        <w:t xml:space="preserve">as a potential H7N9 viral </w:t>
      </w:r>
      <w:r w:rsidR="00433E06" w:rsidRPr="00925C57">
        <w:t>NA inhibitor, as they</w:t>
      </w:r>
      <w:r w:rsidRPr="00925C57">
        <w:t xml:space="preserve"> show greater binding affinity and susceptibility towards NA compared to other drugs</w:t>
      </w:r>
      <w:r w:rsidR="00915ECA" w:rsidRPr="00925C57">
        <w:t xml:space="preserve"> even in the case of mutation</w:t>
      </w:r>
      <w:r w:rsidRPr="00925C57">
        <w:t xml:space="preserve">. </w:t>
      </w:r>
      <w:r w:rsidR="00974746" w:rsidRPr="00925C57">
        <w:t>Based on these results, we</w:t>
      </w:r>
      <w:r w:rsidR="0071453E" w:rsidRPr="00925C57">
        <w:t xml:space="preserve"> recommend to apply Peramivir in the case </w:t>
      </w:r>
      <w:r w:rsidR="0093059E" w:rsidRPr="00925C57">
        <w:t xml:space="preserve">of </w:t>
      </w:r>
      <w:r w:rsidR="0071453E" w:rsidRPr="00925C57">
        <w:t>single (R119K and R372K) mutations and Zanamivir in the case of double (R294_119K and R294_372K) mutations</w:t>
      </w:r>
      <w:r w:rsidR="0093059E" w:rsidRPr="00925C57">
        <w:t xml:space="preserve">, as they both show high </w:t>
      </w:r>
      <w:r w:rsidR="00974746" w:rsidRPr="00925C57">
        <w:t xml:space="preserve">docking </w:t>
      </w:r>
      <w:r w:rsidR="0093059E" w:rsidRPr="00925C57">
        <w:t xml:space="preserve">scores </w:t>
      </w:r>
      <w:r w:rsidR="00974746" w:rsidRPr="00925C57">
        <w:t>comparing three different methods as well as lowest</w:t>
      </w:r>
      <w:r w:rsidR="0093059E" w:rsidRPr="00925C57">
        <w:t xml:space="preserve"> RMSDs </w:t>
      </w:r>
      <w:r w:rsidR="00974746" w:rsidRPr="00925C57">
        <w:t xml:space="preserve">regarding pocket fit </w:t>
      </w:r>
      <w:r w:rsidR="0093059E" w:rsidRPr="00925C57">
        <w:t>with respect to the reference structure in these cases</w:t>
      </w:r>
      <w:r w:rsidR="00A17FAD" w:rsidRPr="00925C57">
        <w:t xml:space="preserve"> (please refer to Tables </w:t>
      </w:r>
      <w:r w:rsidR="00935BC4" w:rsidRPr="00925C57">
        <w:t>1, 2, 3 and 6)</w:t>
      </w:r>
      <w:r w:rsidR="0071453E" w:rsidRPr="00925C57">
        <w:t xml:space="preserve">. </w:t>
      </w:r>
      <w:r w:rsidR="0093059E" w:rsidRPr="00925C57">
        <w:t>However, i</w:t>
      </w:r>
      <w:r w:rsidR="0071453E" w:rsidRPr="00925C57">
        <w:t>n the case of triple (R294_119</w:t>
      </w:r>
      <w:r w:rsidR="00806FED" w:rsidRPr="00925C57">
        <w:t>_372K) mutation, the application</w:t>
      </w:r>
      <w:r w:rsidR="0071453E" w:rsidRPr="00925C57">
        <w:t xml:space="preserve"> of both Peramivir and Zanamivir might be possible to achieve the best results. </w:t>
      </w:r>
      <w:r w:rsidR="008D20D2" w:rsidRPr="00925C57">
        <w:t>We came to this conclusion since in the case of triple mutation, Peramivir</w:t>
      </w:r>
      <w:r w:rsidR="00935BC4" w:rsidRPr="00925C57">
        <w:t xml:space="preserve"> is the only drug that formed</w:t>
      </w:r>
      <w:r w:rsidR="008D20D2" w:rsidRPr="00925C57">
        <w:t xml:space="preserve"> hydrogen bond</w:t>
      </w:r>
      <w:r w:rsidR="00935BC4" w:rsidRPr="00925C57">
        <w:t>s</w:t>
      </w:r>
      <w:r w:rsidR="008D20D2" w:rsidRPr="00925C57">
        <w:t xml:space="preserve"> with all three mutated residues of the binding pocket</w:t>
      </w:r>
      <w:r w:rsidR="00935BC4" w:rsidRPr="00925C57">
        <w:t xml:space="preserve"> (see Table 4)</w:t>
      </w:r>
      <w:r w:rsidR="008D20D2" w:rsidRPr="00925C57">
        <w:t>, demonstrating the strongest capabilities for the binding, while Zanamivir has shown the least RMSD compared to the reference structure</w:t>
      </w:r>
      <w:r w:rsidR="00A17FAD" w:rsidRPr="00925C57">
        <w:t>, thus, showing its best fit to the active site.</w:t>
      </w:r>
      <w:r w:rsidR="00806FED" w:rsidRPr="00925C57">
        <w:t xml:space="preserve"> Therefore, combined treatment with Peramivir and Zanamivir will be an optimal </w:t>
      </w:r>
      <w:r w:rsidR="003E7499" w:rsidRPr="00925C57">
        <w:t xml:space="preserve">solution </w:t>
      </w:r>
      <w:r w:rsidR="00806FED" w:rsidRPr="00925C57">
        <w:t>in this case.</w:t>
      </w:r>
    </w:p>
    <w:p w14:paraId="6943B817" w14:textId="14DDED9E" w:rsidR="006E15F8" w:rsidRPr="00925C57" w:rsidRDefault="00235BD9" w:rsidP="0079274B">
      <w:pPr>
        <w:pStyle w:val="MDPI21heading1"/>
      </w:pPr>
      <w:r w:rsidRPr="00925C57">
        <w:t xml:space="preserve">4. </w:t>
      </w:r>
      <w:r w:rsidR="006E15F8" w:rsidRPr="00925C57">
        <w:t>Main Limitations and Future Perspectives</w:t>
      </w:r>
    </w:p>
    <w:p w14:paraId="623BE9AA" w14:textId="3FBF71BA" w:rsidR="005F69F6" w:rsidRPr="00925C57" w:rsidRDefault="00077ADF" w:rsidP="0079274B">
      <w:pPr>
        <w:pStyle w:val="MDPI31text"/>
      </w:pPr>
      <w:r w:rsidRPr="00925C57">
        <w:t>T</w:t>
      </w:r>
      <w:r w:rsidR="0088476D" w:rsidRPr="00925C57">
        <w:t>hough compounds with known d</w:t>
      </w:r>
      <w:r w:rsidR="00D72E66" w:rsidRPr="00925C57">
        <w:t>rug profile</w:t>
      </w:r>
      <w:r w:rsidR="00974746" w:rsidRPr="00925C57">
        <w:t>s</w:t>
      </w:r>
      <w:r w:rsidR="00D72E66" w:rsidRPr="00925C57">
        <w:t xml:space="preserve"> </w:t>
      </w:r>
      <w:r w:rsidR="00974746" w:rsidRPr="00925C57">
        <w:t xml:space="preserve">are </w:t>
      </w:r>
      <w:r w:rsidR="00D72E66" w:rsidRPr="00925C57">
        <w:t xml:space="preserve">evaluated </w:t>
      </w:r>
      <w:r w:rsidR="00974746" w:rsidRPr="00925C57">
        <w:t xml:space="preserve">here </w:t>
      </w:r>
      <w:r w:rsidR="00D72E66" w:rsidRPr="00925C57">
        <w:t>in depth</w:t>
      </w:r>
      <w:r w:rsidR="0088476D" w:rsidRPr="00925C57">
        <w:t xml:space="preserve"> with the docking simulations for facing the future threat of </w:t>
      </w:r>
      <w:r w:rsidR="00D72E66" w:rsidRPr="00925C57">
        <w:t xml:space="preserve">different mutants with </w:t>
      </w:r>
      <w:r w:rsidR="00422CA8" w:rsidRPr="00925C57">
        <w:t xml:space="preserve">the </w:t>
      </w:r>
      <w:r w:rsidR="00D72E66" w:rsidRPr="00925C57">
        <w:t>reference to</w:t>
      </w:r>
      <w:r w:rsidR="0088476D" w:rsidRPr="00925C57">
        <w:t xml:space="preserve"> H7N9 A influe</w:t>
      </w:r>
      <w:r w:rsidR="00915ECA" w:rsidRPr="00925C57">
        <w:t>nza virus, that may instigate even a</w:t>
      </w:r>
      <w:r w:rsidR="0088476D" w:rsidRPr="00925C57">
        <w:t xml:space="preserve"> pandemic</w:t>
      </w:r>
      <w:r w:rsidR="001247C8" w:rsidRPr="00925C57">
        <w:t xml:space="preserve">, the current study has </w:t>
      </w:r>
      <w:r w:rsidRPr="00925C57">
        <w:t xml:space="preserve">clearly </w:t>
      </w:r>
      <w:r w:rsidR="001247C8" w:rsidRPr="00925C57">
        <w:t>some</w:t>
      </w:r>
      <w:r w:rsidR="00870CF0" w:rsidRPr="00925C57">
        <w:t xml:space="preserve"> limitations</w:t>
      </w:r>
      <w:r w:rsidR="001247C8" w:rsidRPr="00925C57">
        <w:t>:</w:t>
      </w:r>
      <w:r w:rsidR="00870CF0" w:rsidRPr="00925C57">
        <w:t xml:space="preserve"> </w:t>
      </w:r>
      <w:r w:rsidRPr="00925C57">
        <w:t>T</w:t>
      </w:r>
      <w:r w:rsidR="001247C8" w:rsidRPr="00925C57">
        <w:t xml:space="preserve">he currently optimized binding affinity of the single, double and triple mutant complexes </w:t>
      </w:r>
      <w:r w:rsidRPr="00925C57">
        <w:t xml:space="preserve">can only </w:t>
      </w:r>
      <w:r w:rsidR="001247C8" w:rsidRPr="00925C57">
        <w:t xml:space="preserve">provide </w:t>
      </w:r>
      <w:r w:rsidRPr="00925C57">
        <w:t xml:space="preserve">a first </w:t>
      </w:r>
      <w:r w:rsidR="001247C8" w:rsidRPr="00925C57">
        <w:t xml:space="preserve">basis for </w:t>
      </w:r>
      <w:r w:rsidRPr="00925C57">
        <w:t xml:space="preserve">guiding therapy and </w:t>
      </w:r>
      <w:r w:rsidR="001247C8" w:rsidRPr="00925C57">
        <w:t>conducting future analysis in all possible manners</w:t>
      </w:r>
      <w:r w:rsidRPr="00925C57">
        <w:t>, in particular experiments in vitro and in vivo (e.g. animal experiments)</w:t>
      </w:r>
      <w:r w:rsidR="001247C8" w:rsidRPr="00925C57">
        <w:t>.</w:t>
      </w:r>
    </w:p>
    <w:p w14:paraId="2376FFF4" w14:textId="41974931" w:rsidR="00077ADF" w:rsidRPr="00925C57" w:rsidRDefault="00077ADF" w:rsidP="0079274B">
      <w:pPr>
        <w:pStyle w:val="MDPI31text"/>
      </w:pPr>
      <w:r w:rsidRPr="00925C57">
        <w:t xml:space="preserve">We used three </w:t>
      </w:r>
      <w:r w:rsidR="00F66F39" w:rsidRPr="00925C57">
        <w:t>well-established</w:t>
      </w:r>
      <w:r w:rsidR="002E4A3A" w:rsidRPr="00925C57">
        <w:t xml:space="preserve"> docking </w:t>
      </w:r>
      <w:r w:rsidR="00CA473B" w:rsidRPr="00925C57">
        <w:t>algorithms</w:t>
      </w:r>
      <w:r w:rsidRPr="00925C57">
        <w:t xml:space="preserve"> </w:t>
      </w:r>
      <w:r w:rsidR="003410A2" w:rsidRPr="00925C57">
        <w:t>(AutoD</w:t>
      </w:r>
      <w:r w:rsidR="007C1C20" w:rsidRPr="00925C57">
        <w:t xml:space="preserve">ock, Gold and MOE) </w:t>
      </w:r>
      <w:r w:rsidRPr="00925C57">
        <w:t xml:space="preserve">and </w:t>
      </w:r>
      <w:r w:rsidR="007C1C20" w:rsidRPr="00925C57">
        <w:t>their</w:t>
      </w:r>
      <w:r w:rsidRPr="00925C57">
        <w:t xml:space="preserve"> overall scores are rather similar, however, they differ</w:t>
      </w:r>
      <w:r w:rsidR="00E24BE1" w:rsidRPr="00925C57">
        <w:t>ed</w:t>
      </w:r>
      <w:r w:rsidRPr="00925C57">
        <w:t xml:space="preserve"> in the details.</w:t>
      </w:r>
      <w:r w:rsidR="007C1C20" w:rsidRPr="00925C57">
        <w:t xml:space="preserve"> </w:t>
      </w:r>
      <w:r w:rsidR="00E24BE1" w:rsidRPr="00925C57">
        <w:t>Nevertheles</w:t>
      </w:r>
      <w:r w:rsidR="00247FDD" w:rsidRPr="00925C57">
        <w:t>s, they unequivocally point to Peramivir and Z</w:t>
      </w:r>
      <w:r w:rsidR="00E24BE1" w:rsidRPr="00925C57">
        <w:t xml:space="preserve">anamivir as best approved drugs to treat patients also in the case of the most probable course of future mutation. Future mutations </w:t>
      </w:r>
      <w:r w:rsidR="00E24BE1" w:rsidRPr="00925C57">
        <w:lastRenderedPageBreak/>
        <w:t>were tested only for the three most important positions and assuming the most likely similar substitution course to lysin</w:t>
      </w:r>
      <w:r w:rsidR="00590B1B">
        <w:t>e</w:t>
      </w:r>
      <w:r w:rsidR="00E24BE1" w:rsidRPr="00925C57">
        <w:t>. However, alternative amino acid substitutions are inherently less likely.</w:t>
      </w:r>
      <w:r w:rsidR="00E24BE1" w:rsidRPr="00925C57">
        <w:rPr>
          <w:color w:val="00B050"/>
        </w:rPr>
        <w:t xml:space="preserve"> </w:t>
      </w:r>
      <w:r w:rsidR="007C1C20" w:rsidRPr="00925C57">
        <w:t xml:space="preserve">To allow easy transfer and first recommendations for the clinic, we used </w:t>
      </w:r>
      <w:r w:rsidR="002E4A3A" w:rsidRPr="00925C57">
        <w:t>only approved drugs and</w:t>
      </w:r>
      <w:r w:rsidR="00E24BE1" w:rsidRPr="00925C57">
        <w:t xml:space="preserve"> purposely did not look at further modifications. We are aware that such modifications may bind even better and hence we consider the approved drugs in this respect only as first leads for further development once a mutated strain becomes predominant.</w:t>
      </w:r>
    </w:p>
    <w:p w14:paraId="108B5164" w14:textId="19433919" w:rsidR="00E24BE1" w:rsidRPr="00925C57" w:rsidRDefault="00870CF0" w:rsidP="0079274B">
      <w:pPr>
        <w:pStyle w:val="MDPI31text"/>
      </w:pPr>
      <w:r w:rsidRPr="00925C57">
        <w:t xml:space="preserve">We also strongly recommend </w:t>
      </w:r>
      <w:r w:rsidR="00DB3140" w:rsidRPr="00925C57">
        <w:t>exploring</w:t>
      </w:r>
      <w:r w:rsidRPr="00925C57">
        <w:t xml:space="preserve"> more </w:t>
      </w:r>
      <w:r w:rsidR="00DB3140" w:rsidRPr="00925C57">
        <w:t>synthetic ana</w:t>
      </w:r>
      <w:r w:rsidR="001247C8" w:rsidRPr="00925C57">
        <w:t>logues of Peramivir and Zanamivir</w:t>
      </w:r>
      <w:r w:rsidR="0027769D" w:rsidRPr="00925C57">
        <w:t xml:space="preserve"> </w:t>
      </w:r>
      <w:r w:rsidR="00A2237E" w:rsidRPr="00925C57">
        <w:t>as they represent</w:t>
      </w:r>
      <w:r w:rsidR="0027769D" w:rsidRPr="00925C57">
        <w:t xml:space="preserve"> near</w:t>
      </w:r>
      <w:r w:rsidR="00DB3140" w:rsidRPr="00925C57">
        <w:t xml:space="preserve"> perfect leads for the mutants </w:t>
      </w:r>
      <w:r w:rsidR="00A2237E" w:rsidRPr="00925C57">
        <w:t>investigated</w:t>
      </w:r>
      <w:r w:rsidR="00DB3140" w:rsidRPr="00925C57">
        <w:t xml:space="preserve"> in this study.</w:t>
      </w:r>
      <w:r w:rsidR="003B11A3" w:rsidRPr="00925C57">
        <w:t xml:space="preserve"> Therefore</w:t>
      </w:r>
      <w:r w:rsidR="00E7322B" w:rsidRPr="00925C57">
        <w:t>,</w:t>
      </w:r>
      <w:r w:rsidR="003B11A3" w:rsidRPr="00925C57">
        <w:t xml:space="preserve"> giving rise to additional markers for drug resistance accompanying H7N9 influenza A virus</w:t>
      </w:r>
      <w:r w:rsidR="00E24BE1" w:rsidRPr="00925C57">
        <w:t>.</w:t>
      </w:r>
    </w:p>
    <w:p w14:paraId="63DC403B" w14:textId="66209EB5" w:rsidR="0013688B" w:rsidRPr="00925C57" w:rsidRDefault="00077ADF" w:rsidP="0079274B">
      <w:pPr>
        <w:pStyle w:val="MDPI31text"/>
      </w:pPr>
      <w:r w:rsidRPr="00925C57">
        <w:t>Our findings did not touch upon other points important for virus transmission</w:t>
      </w:r>
      <w:r w:rsidR="00E24BE1" w:rsidRPr="00925C57">
        <w:t xml:space="preserve"> prevention</w:t>
      </w:r>
      <w:r w:rsidRPr="00925C57">
        <w:t xml:space="preserve"> such as developing a virus strain surveillance model, but we recommend</w:t>
      </w:r>
      <w:r w:rsidR="008D20D2" w:rsidRPr="00925C57">
        <w:t>,</w:t>
      </w:r>
      <w:r w:rsidRPr="00925C57">
        <w:t xml:space="preserve"> of course</w:t>
      </w:r>
      <w:r w:rsidR="008D20D2" w:rsidRPr="00925C57">
        <w:t>,</w:t>
      </w:r>
      <w:r w:rsidRPr="00925C57">
        <w:t xml:space="preserve"> as all health o</w:t>
      </w:r>
      <w:r w:rsidR="00A25AFF" w:rsidRPr="00925C57">
        <w:t>rganizations concerned with flu,</w:t>
      </w:r>
      <w:r w:rsidRPr="00925C57">
        <w:t xml:space="preserve"> to monitor the progress of the influenza A viral strains in frequent intervals for better clinical studies and patient care.</w:t>
      </w:r>
    </w:p>
    <w:p w14:paraId="681EFAF6" w14:textId="3CA1D0F0" w:rsidR="00EE5830" w:rsidRPr="00925C57" w:rsidRDefault="00235BD9" w:rsidP="0079274B">
      <w:pPr>
        <w:pStyle w:val="MDPI21heading1"/>
      </w:pPr>
      <w:r w:rsidRPr="00925C57">
        <w:t xml:space="preserve">5. </w:t>
      </w:r>
      <w:r w:rsidR="00EE5830" w:rsidRPr="00925C57">
        <w:t>Conclusions</w:t>
      </w:r>
    </w:p>
    <w:p w14:paraId="544709BD" w14:textId="06CD8456" w:rsidR="00147831" w:rsidRPr="00925C57" w:rsidRDefault="00632F3D" w:rsidP="0079274B">
      <w:pPr>
        <w:pStyle w:val="MDPI31text"/>
      </w:pPr>
      <w:r w:rsidRPr="00925C57">
        <w:t xml:space="preserve">Molecular docking technique has been applied to analyze the influence of mutation </w:t>
      </w:r>
      <w:r w:rsidR="00F17CF4" w:rsidRPr="00925C57">
        <w:t xml:space="preserve">on drug resistance </w:t>
      </w:r>
      <w:r w:rsidR="006174CB" w:rsidRPr="00925C57">
        <w:t xml:space="preserve">in the active site of NA from H7N9 influenza virus. </w:t>
      </w:r>
      <w:r w:rsidR="004962EB" w:rsidRPr="00925C57">
        <w:t xml:space="preserve">The known anti-influenza drugs such as Oseltamivir, Zanamivir, Peramivir, Laninamivir, L-Arginine and Benserazide hydrochloride were analyzed for their binding capabilities against the pocket of wild type NA as well as the one with single, double and triple mutation in </w:t>
      </w:r>
      <w:r w:rsidR="00262E6D" w:rsidRPr="00925C57">
        <w:t xml:space="preserve">their </w:t>
      </w:r>
      <w:r w:rsidR="004962EB" w:rsidRPr="00925C57">
        <w:t xml:space="preserve">key residues. </w:t>
      </w:r>
      <w:r w:rsidR="00C70DC0" w:rsidRPr="00925C57">
        <w:t>According to the scores obtained from three independent docking protocols, w</w:t>
      </w:r>
      <w:r w:rsidR="004962EB" w:rsidRPr="00925C57">
        <w:t xml:space="preserve">e found that </w:t>
      </w:r>
      <w:r w:rsidR="00262E6D" w:rsidRPr="00925C57">
        <w:t xml:space="preserve">Peramivir </w:t>
      </w:r>
      <w:r w:rsidR="00677C2E" w:rsidRPr="00925C57">
        <w:t xml:space="preserve">and in some cases Zanamivir </w:t>
      </w:r>
      <w:r w:rsidR="00262E6D" w:rsidRPr="00925C57">
        <w:t>had</w:t>
      </w:r>
      <w:r w:rsidR="004962EB" w:rsidRPr="00925C57">
        <w:t xml:space="preserve"> the higher potency to bind NA enzyme compared to other studied drugs with the highest binding affinity towards wild type and single mutants and lower affinities toward double and triple mutants, respectively.</w:t>
      </w:r>
      <w:r w:rsidR="00C70DC0" w:rsidRPr="00925C57">
        <w:t xml:space="preserve"> </w:t>
      </w:r>
      <w:r w:rsidR="0055332A" w:rsidRPr="00925C57">
        <w:t xml:space="preserve">Despite the fact that mutation changed the shape of the pocket and shifted the binding site for the studied drugs, </w:t>
      </w:r>
      <w:r w:rsidR="00262E6D" w:rsidRPr="00925C57">
        <w:t>binding</w:t>
      </w:r>
      <w:r w:rsidR="00677C2E" w:rsidRPr="00925C57">
        <w:t>s</w:t>
      </w:r>
      <w:r w:rsidR="00262E6D" w:rsidRPr="00925C57">
        <w:t xml:space="preserve"> of </w:t>
      </w:r>
      <w:r w:rsidR="0055332A" w:rsidRPr="00925C57">
        <w:t xml:space="preserve">Peramivir </w:t>
      </w:r>
      <w:r w:rsidR="00677C2E" w:rsidRPr="00925C57">
        <w:t>and Zanamivir were</w:t>
      </w:r>
      <w:r w:rsidR="00262E6D" w:rsidRPr="00925C57">
        <w:t xml:space="preserve"> </w:t>
      </w:r>
      <w:r w:rsidR="0055332A" w:rsidRPr="00925C57">
        <w:t xml:space="preserve">less affected by mutation. Moreover, Peramivir was the only drug that maintained interaction </w:t>
      </w:r>
      <w:r w:rsidR="00262E6D" w:rsidRPr="00925C57">
        <w:t xml:space="preserve">inside the pocket of triple </w:t>
      </w:r>
      <w:r w:rsidR="006540E2" w:rsidRPr="00925C57">
        <w:t xml:space="preserve">N9 </w:t>
      </w:r>
      <w:r w:rsidR="00262E6D" w:rsidRPr="00925C57">
        <w:t xml:space="preserve">mutant </w:t>
      </w:r>
      <w:r w:rsidR="0055332A" w:rsidRPr="00925C57">
        <w:t xml:space="preserve">with the key residues at positions 119, 294 and 372 even </w:t>
      </w:r>
      <w:r w:rsidR="00677C2E" w:rsidRPr="00925C57">
        <w:t>after their mutation to lysin</w:t>
      </w:r>
      <w:r w:rsidR="00590B1B">
        <w:t>e</w:t>
      </w:r>
      <w:r w:rsidR="00677C2E" w:rsidRPr="00925C57">
        <w:t xml:space="preserve">s, while Zanamivir was the only drug with the least value of RMSD (0.7 Å). </w:t>
      </w:r>
      <w:r w:rsidR="006174CB" w:rsidRPr="00925C57">
        <w:t>Our finding</w:t>
      </w:r>
      <w:r w:rsidR="00F16392" w:rsidRPr="00925C57">
        <w:t>s suggest</w:t>
      </w:r>
      <w:r w:rsidR="006174CB" w:rsidRPr="00925C57">
        <w:t xml:space="preserve"> that </w:t>
      </w:r>
      <w:r w:rsidR="00C70DC0" w:rsidRPr="00925C57">
        <w:t>Peram</w:t>
      </w:r>
      <w:r w:rsidR="00571D72" w:rsidRPr="00925C57">
        <w:t>i</w:t>
      </w:r>
      <w:r w:rsidR="00C70DC0" w:rsidRPr="00925C57">
        <w:t xml:space="preserve">vir </w:t>
      </w:r>
      <w:r w:rsidR="00677C2E" w:rsidRPr="00925C57">
        <w:t xml:space="preserve">along with Zanamivir </w:t>
      </w:r>
      <w:r w:rsidR="00C70DC0" w:rsidRPr="00925C57">
        <w:t xml:space="preserve">can be an optimal </w:t>
      </w:r>
      <w:r w:rsidR="00E24BE1" w:rsidRPr="00925C57">
        <w:t xml:space="preserve">first available treatment </w:t>
      </w:r>
      <w:r w:rsidR="00C70DC0" w:rsidRPr="00925C57">
        <w:t>solution in the case if H7N9 influenza</w:t>
      </w:r>
      <w:r w:rsidR="00760D2C" w:rsidRPr="00925C57">
        <w:t xml:space="preserve"> virus acquires new </w:t>
      </w:r>
      <w:r w:rsidR="00B56308" w:rsidRPr="00925C57">
        <w:t xml:space="preserve">drug </w:t>
      </w:r>
      <w:r w:rsidR="00A1381A" w:rsidRPr="00925C57">
        <w:t>resistant</w:t>
      </w:r>
      <w:r w:rsidR="00B56308" w:rsidRPr="00925C57">
        <w:t xml:space="preserve"> mutations</w:t>
      </w:r>
      <w:r w:rsidR="00760D2C" w:rsidRPr="00925C57">
        <w:t>.</w:t>
      </w:r>
    </w:p>
    <w:p w14:paraId="0401531C" w14:textId="48843327" w:rsidR="00786D32" w:rsidRPr="00925C57" w:rsidRDefault="00235BD9" w:rsidP="0079274B">
      <w:pPr>
        <w:pStyle w:val="MDPI21heading1"/>
      </w:pPr>
      <w:r w:rsidRPr="00925C57">
        <w:t xml:space="preserve">6. </w:t>
      </w:r>
      <w:r w:rsidR="00786D32" w:rsidRPr="00925C57">
        <w:t>Computational Methods</w:t>
      </w:r>
    </w:p>
    <w:p w14:paraId="41DE00E2" w14:textId="05AC43EA" w:rsidR="00786D32" w:rsidRPr="00925C57" w:rsidRDefault="00235BD9" w:rsidP="0079274B">
      <w:pPr>
        <w:pStyle w:val="MDPI22heading2"/>
      </w:pPr>
      <w:r w:rsidRPr="00925C57">
        <w:t xml:space="preserve">6.1. </w:t>
      </w:r>
      <w:r w:rsidR="00786D32" w:rsidRPr="00925C57">
        <w:t xml:space="preserve">Structure </w:t>
      </w:r>
      <w:r w:rsidR="00EF669F" w:rsidRPr="00925C57">
        <w:t>D</w:t>
      </w:r>
      <w:r w:rsidR="00786D32" w:rsidRPr="00925C57">
        <w:t>erivation</w:t>
      </w:r>
      <w:r w:rsidR="00FA1532" w:rsidRPr="00925C57">
        <w:t xml:space="preserve"> and </w:t>
      </w:r>
      <w:r w:rsidR="00EF669F" w:rsidRPr="00925C57">
        <w:t>P</w:t>
      </w:r>
      <w:r w:rsidR="00FA1532" w:rsidRPr="00925C57">
        <w:t>reparation</w:t>
      </w:r>
      <w:r w:rsidR="00786D32" w:rsidRPr="00925C57">
        <w:t>.</w:t>
      </w:r>
    </w:p>
    <w:p w14:paraId="1324BCD2" w14:textId="079B5C00" w:rsidR="00EB21F6" w:rsidRPr="00925C57" w:rsidRDefault="002C16B3" w:rsidP="0079274B">
      <w:pPr>
        <w:pStyle w:val="MDPI31text"/>
        <w:rPr>
          <w:b/>
        </w:rPr>
      </w:pPr>
      <w:r w:rsidRPr="00925C57">
        <w:t>The 3D</w:t>
      </w:r>
      <w:r w:rsidR="00EB21F6" w:rsidRPr="00925C57">
        <w:t xml:space="preserve"> structures </w:t>
      </w:r>
      <w:r w:rsidR="009E41C4" w:rsidRPr="00925C57">
        <w:t xml:space="preserve">of N9 neuraminidases </w:t>
      </w:r>
      <w:r w:rsidRPr="00925C57">
        <w:t xml:space="preserve">were </w:t>
      </w:r>
      <w:r w:rsidR="00EB21F6" w:rsidRPr="00925C57">
        <w:t xml:space="preserve">obtained from protein data bank </w:t>
      </w:r>
      <w:r w:rsidRPr="00925C57">
        <w:t xml:space="preserve">(PDB) </w:t>
      </w:r>
      <w:r w:rsidR="00EB21F6" w:rsidRPr="00925C57">
        <w:t>under the following reference codes: 4MWQ</w:t>
      </w:r>
      <w:r w:rsidR="003410A2" w:rsidRPr="00925C57">
        <w:t xml:space="preserve"> </w:t>
      </w:r>
      <w:r w:rsidR="0009347C" w:rsidRPr="00925C57">
        <w:fldChar w:fldCharType="begin" w:fldLock="1"/>
      </w:r>
      <w:r w:rsidR="00347A50" w:rsidRPr="00925C57">
        <w:instrText>ADDIN CSL_CITATION {"citationItems":[{"id":"ITEM-1","itemData":{"DOI":"10.1038/cr.2013.144","ISSN":"10010602","PMID":"24165891","abstract":"An epidemic of an avian-origin H7N9 influenza virus has recently emerged in China, infecting 134 patients of which 45 have died. This is the first time that an influenza virus harboring an N9 serotype neuraminidase (NA) has been known to infect humans. H7N9 viruses are divergent and at least two distinct NAs and hemagglutinins (HAs) have been found, respectively, from clinical isolates. The prototypes of these viruses are A/Anhui/1/2013 and A/Shanghai/1/2013. NAs from these two viruses are distinct as the A/Shanghai/1/2013 NA has an R294K substitution that can confer NA inhibitor oseltamivir resistance. Oseltamivir is by far the most commonly used anti-influenza drug due to its potency and high bioavailability. In this study, we show that an R294K substitution results in multidrug resistance with extreme oseltamivir resistance (over 100 000-fold) using protein- and virus-based assays. To determine the molecular basis for the inhibitor resistance, we solved high-resolution crystal structures of NAs from A/Anhui/1/2013 N9 (R294-containing) and A/Shanghai/1/2013 N9 (K294-containing). R294K substitution results in an unfavorable E276 conformation for oseltamivir binding, and consequently loss of inhibitor carboxylate interactions, which compromises the binding of all classical NA ligands/inhibitors. Moreover, we found that R294K substitution results in reduced NA catalytic efficiency along with lower viral fitness. This helps to explain why K294 has predominantly been found in clinical cases of H7N9 infection under the selective pressure of oseltamivir treatment and not in the dominant human-infecting viruses. This implies that oseltamivir can still be efficiently used in the treatment of H7N9 infections. © 2013 IBCB, SIBS, CAS All rights reserved.","author":[{"dropping-particle":"","family":"Wu","given":"Yan","non-dropping-particle":"","parse-names":false,"suffix":""},{"dropping-particle":"","family":"Bi","given":"Yuhai","non-dropping-particle":"","parse-names":false,"suffix":""},{"dropping-particle":"","family":"Vavricka","given":"Christopher J.","non-dropping-particle":"","parse-names":false,"suffix":""},{"dropping-particle":"","family":"Sun","given":"Xiaoman","non-dropping-particle":"","parse-names":false,"suffix":""},{"dropping-particle":"","family":"Zhang","given":"Yanfang","non-dropping-particle":"","parse-names":false,"suffix":""},{"dropping-particle":"","family":"Gao","given":"Feng","non-dropping-particle":"","parse-names":false,"suffix":""},{"dropping-particle":"","family":"Zhao","given":"Min","non-dropping-particle":"","parse-names":false,"suffix":""},{"dropping-particle":"","family":"Xiao","given":"Haixia","non-dropping-particle":"","parse-names":false,"suffix":""},{"dropping-particle":"","family":"Qin","given":"Chengfeng","non-dropping-particle":"","parse-names":false,"suffix":""},{"dropping-particle":"","family":"He","given":"Jianhua","non-dropping-particle":"","parse-names":false,"suffix":""},{"dropping-particle":"","family":"Liu","given":"Wenjun","non-dropping-particle":"","parse-names":false,"suffix":""},{"dropping-particle":"","family":"Yan","given":"Jinghua","non-dropping-particle":"","parse-names":false,"suffix":""},{"dropping-particle":"","family":"Qi","given":"Jianxun","non-dropping-particle":"","parse-names":false,"suffix":""},{"dropping-particle":"","family":"Gao","given":"George F.","non-dropping-particle":"","parse-names":false,"suffix":""}],"container-title":"Cell Research","id":"ITEM-1","issue":"12","issued":{"date-parts":[["2013"]]},"page":"1347-1355","title":"Characterization of two distinct neuraminidases from avian-origin human-infecting H7N9 influenza viruses","type":"article-journal","volume":"23"},"uris":["http://www.mendeley.com/documents/?uuid=c37c6db6-52fb-41d2-a19c-f0cb0f522b67","http://www.mendeley.com/documents/?uuid=d25534af-3051-4689-820a-1c2fc1725081"]}],"mendeley":{"formattedCitation":"[12]","plainTextFormattedCitation":"[12]","previouslyFormattedCitation":"[12]"},"properties":{"noteIndex":0},"schema":"https://github.com/citation-style-language/schema/raw/master/csl-citation.json"}</w:instrText>
      </w:r>
      <w:r w:rsidR="0009347C" w:rsidRPr="00925C57">
        <w:fldChar w:fldCharType="separate"/>
      </w:r>
      <w:r w:rsidR="00347A50" w:rsidRPr="00925C57">
        <w:t>[12]</w:t>
      </w:r>
      <w:r w:rsidR="0009347C" w:rsidRPr="00925C57">
        <w:fldChar w:fldCharType="end"/>
      </w:r>
      <w:r w:rsidR="00EB21F6" w:rsidRPr="00925C57">
        <w:t xml:space="preserve"> and 4MWW</w:t>
      </w:r>
      <w:r w:rsidR="003410A2" w:rsidRPr="00925C57">
        <w:t xml:space="preserve"> </w:t>
      </w:r>
      <w:r w:rsidR="00680A64" w:rsidRPr="00925C57">
        <w:fldChar w:fldCharType="begin" w:fldLock="1"/>
      </w:r>
      <w:r w:rsidR="00347A50" w:rsidRPr="00925C57">
        <w:instrText>ADDIN CSL_CITATION {"citationItems":[{"id":"ITEM-1","itemData":{"DOI":"10.1038/cr.2013.144","ISSN":"10010602","PMID":"24165891","abstract":"An epidemic of an avian-origin H7N9 influenza virus has recently emerged in China, infecting 134 patients of which 45 have died. This is the first time that an influenza virus harboring an N9 serotype neuraminidase (NA) has been known to infect humans. H7N9 viruses are divergent and at least two distinct NAs and hemagglutinins (HAs) have been found, respectively, from clinical isolates. The prototypes of these viruses are A/Anhui/1/2013 and A/Shanghai/1/2013. NAs from these two viruses are distinct as the A/Shanghai/1/2013 NA has an R294K substitution that can confer NA inhibitor oseltamivir resistance. Oseltamivir is by far the most commonly used anti-influenza drug due to its potency and high bioavailability. In this study, we show that an R294K substitution results in multidrug resistance with extreme oseltamivir resistance (over 100 000-fold) using protein- and virus-based assays. To determine the molecular basis for the inhibitor resistance, we solved high-resolution crystal structures of NAs from A/Anhui/1/2013 N9 (R294-containing) and A/Shanghai/1/2013 N9 (K294-containing). R294K substitution results in an unfavorable E276 conformation for oseltamivir binding, and consequently loss of inhibitor carboxylate interactions, which compromises the binding of all classical NA ligands/inhibitors. Moreover, we found that R294K substitution results in reduced NA catalytic efficiency along with lower viral fitness. This helps to explain why K294 has predominantly been found in clinical cases of H7N9 infection under the selective pressure of oseltamivir treatment and not in the dominant human-infecting viruses. This implies that oseltamivir can still be efficiently used in the treatment of H7N9 infections. © 2013 IBCB, SIBS, CAS All rights reserved.","author":[{"dropping-particle":"","family":"Wu","given":"Yan","non-dropping-particle":"","parse-names":false,"suffix":""},{"dropping-particle":"","family":"Bi","given":"Yuhai","non-dropping-particle":"","parse-names":false,"suffix":""},{"dropping-particle":"","family":"Vavricka","given":"Christopher J.","non-dropping-particle":"","parse-names":false,"suffix":""},{"dropping-particle":"","family":"Sun","given":"Xiaoman","non-dropping-particle":"","parse-names":false,"suffix":""},{"dropping-particle":"","family":"Zhang","given":"Yanfang","non-dropping-particle":"","parse-names":false,"suffix":""},{"dropping-particle":"","family":"Gao","given":"Feng","non-dropping-particle":"","parse-names":false,"suffix":""},{"dropping-particle":"","family":"Zhao","given":"Min","non-dropping-particle":"","parse-names":false,"suffix":""},{"dropping-particle":"","family":"Xiao","given":"Haixia","non-dropping-particle":"","parse-names":false,"suffix":""},{"dropping-particle":"","family":"Qin","given":"Chengfeng","non-dropping-particle":"","parse-names":false,"suffix":""},{"dropping-particle":"","family":"He","given":"Jianhua","non-dropping-particle":"","parse-names":false,"suffix":""},{"dropping-particle":"","family":"Liu","given":"Wenjun","non-dropping-particle":"","parse-names":false,"suffix":""},{"dropping-particle":"","family":"Yan","given":"Jinghua","non-dropping-particle":"","parse-names":false,"suffix":""},{"dropping-particle":"","family":"Qi","given":"Jianxun","non-dropping-particle":"","parse-names":false,"suffix":""},{"dropping-particle":"","family":"Gao","given":"George F.","non-dropping-particle":"","parse-names":false,"suffix":""}],"container-title":"Cell Research","id":"ITEM-1","issue":"12","issued":{"date-parts":[["2013"]]},"page":"1347-1355","title":"Characterization of two distinct neuraminidases from avian-origin human-infecting H7N9 influenza viruses","type":"article-journal","volume":"23"},"uris":["http://www.mendeley.com/documents/?uuid=c37c6db6-52fb-41d2-a19c-f0cb0f522b67","http://www.mendeley.com/documents/?uuid=d25534af-3051-4689-820a-1c2fc1725081"]}],"mendeley":{"formattedCitation":"[12]","plainTextFormattedCitation":"[12]","previouslyFormattedCitation":"[12]"},"properties":{"noteIndex":0},"schema":"https://github.com/citation-style-language/schema/raw/master/csl-citation.json"}</w:instrText>
      </w:r>
      <w:r w:rsidR="00680A64" w:rsidRPr="00925C57">
        <w:fldChar w:fldCharType="separate"/>
      </w:r>
      <w:r w:rsidR="00347A50" w:rsidRPr="00925C57">
        <w:t>[12]</w:t>
      </w:r>
      <w:r w:rsidR="00680A64" w:rsidRPr="00925C57">
        <w:fldChar w:fldCharType="end"/>
      </w:r>
      <w:r w:rsidR="003410A2" w:rsidRPr="00925C57">
        <w:t>.</w:t>
      </w:r>
      <w:r w:rsidR="009E41C4" w:rsidRPr="00925C57">
        <w:t xml:space="preserve"> Mutations of R to K at</w:t>
      </w:r>
      <w:r w:rsidRPr="00925C57">
        <w:t xml:space="preserve"> positions 119 and 372 were</w:t>
      </w:r>
      <w:r w:rsidR="009E41C4" w:rsidRPr="00925C57">
        <w:t xml:space="preserve"> performed with the help of the tools of Chimera software</w:t>
      </w:r>
      <w:r w:rsidR="003410A2" w:rsidRPr="00925C57">
        <w:t xml:space="preserve"> </w:t>
      </w:r>
      <w:r w:rsidR="00680A64" w:rsidRPr="00925C57">
        <w:fldChar w:fldCharType="begin" w:fldLock="1"/>
      </w:r>
      <w:r w:rsidR="00347A50" w:rsidRPr="00925C57">
        <w:instrText>ADDIN CSL_CITATION {"citationItems":[{"id":"ITEM-1","itemData":{"DOI":"10.1002/jcc.20084","ISBN":"0192-8651 (Print)\\r0192-8651 (Linking)","ISSN":"15426270","PMID":"15264254","abstract":"The design, implementation, and capabilities of an extensible visualization system, UCSF Chimera, are discussed. Chimera is segmented into a core that provides basic services and visualization, and extensions that provide most higher level functionality. This architecture ensures that the extension mechanism satisfies the demands of outside developers who wish to incorporate new features. Two unusual extensions are presented: Multiscale, which adds the ability to visualize large-scale molecular assemblies such as viral coats, and Collaboratory, which allows researchers to share a Chimera session interactively despite being at separate locales. Other extensions include Multalign Viewer, for showing multiple sequence alignments and associated structures; ViewDock, for screening docked ligand orientations; Movie, for replaying molecular dynamics trajectories; and Volume Viewer, for display and analysis of volumetric data. A discussion of the usage of Chimera in real-world situations is given, along with anticipated future directions. Chimera includes full user documentation, is free to academic and nonprofit users, and is available for Microsoft Windows, Linux, Apple Mac OS X, SGI IRIX, and HP Tru64 Unix from","author":[{"dropping-particle":"","family":"Pettersen","given":"Eric F","non-dropping-particle":"","parse-names":false,"suffix":""},{"dropping-particle":"","family":"Goddard","given":"Thomas D","non-dropping-particle":"","parse-names":false,"suffix":""},{"dropping-particle":"","family":"Huang","given":"Conrad C","non-dropping-particle":"","parse-names":false,"suffix":""},{"dropping-particle":"","family":"Couch","given":"Gregory S","non-dropping-particle":"","parse-names":false,"suffix":""},{"dropping-particle":"","family":"Greenblatt","given":"Daniel M","non-dropping-particle":"","parse-names":false,"suffix":""},{"dropping-particle":"","family":"Meng","given":"Elaine C","non-dropping-particle":"","parse-names":false,"suffix":""},{"dropping-particle":"","family":"Ferrin","given":"Thomas E","non-dropping-particle":"","parse-names":false,"suffix":""}],"container-title":"J Comput Chem","id":"ITEM-1","issued":{"date-parts":[["2004"]]},"page":"1605-1612","title":"UCSF Chimera—A Visualization System for Exploratory Research and Analysis","type":"article-journal","volume":"25"},"uris":["http://www.mendeley.com/documents/?uuid=796ad496-736b-4a93-b5ef-574819056926"]}],"mendeley":{"formattedCitation":"[30]","plainTextFormattedCitation":"[30]","previouslyFormattedCitation":"[30]"},"properties":{"noteIndex":0},"schema":"https://github.com/citation-style-language/schema/raw/master/csl-citation.json"}</w:instrText>
      </w:r>
      <w:r w:rsidR="00680A64" w:rsidRPr="00925C57">
        <w:fldChar w:fldCharType="separate"/>
      </w:r>
      <w:r w:rsidR="00347A50" w:rsidRPr="00925C57">
        <w:t>[30]</w:t>
      </w:r>
      <w:r w:rsidR="00680A64" w:rsidRPr="00925C57">
        <w:fldChar w:fldCharType="end"/>
      </w:r>
      <w:r w:rsidR="003410A2" w:rsidRPr="00925C57">
        <w:t>.</w:t>
      </w:r>
      <w:r w:rsidR="009E41C4" w:rsidRPr="00925C57">
        <w:t xml:space="preserve"> </w:t>
      </w:r>
      <w:r w:rsidR="008F2EC9" w:rsidRPr="00925C57">
        <w:t xml:space="preserve">The 3D structures for Oseltamivir, Zanamivir, </w:t>
      </w:r>
      <w:r w:rsidR="00590B1B" w:rsidRPr="00925C57">
        <w:t>Peramivir</w:t>
      </w:r>
      <w:r w:rsidR="008F2EC9" w:rsidRPr="00925C57">
        <w:t xml:space="preserve">, Laninamivir, </w:t>
      </w:r>
      <w:r w:rsidR="000E577D" w:rsidRPr="00925C57">
        <w:t>L-Arginine and Benserazide hydrochloride</w:t>
      </w:r>
      <w:r w:rsidR="008F2EC9" w:rsidRPr="00925C57">
        <w:t xml:space="preserve"> were obtained from PubChem </w:t>
      </w:r>
      <w:r w:rsidR="00100C03" w:rsidRPr="00925C57">
        <w:t xml:space="preserve">online drug databank </w:t>
      </w:r>
      <w:r w:rsidR="008F2EC9" w:rsidRPr="00925C57">
        <w:t xml:space="preserve">under the following CIDs: </w:t>
      </w:r>
      <w:r w:rsidR="00100C03" w:rsidRPr="00925C57">
        <w:t xml:space="preserve">65028, 60855, 154234, 502272, 6322 and 26964, respectively. </w:t>
      </w:r>
      <w:r w:rsidR="009E41C4" w:rsidRPr="00925C57">
        <w:t xml:space="preserve">The structure </w:t>
      </w:r>
      <w:r w:rsidR="00B835EE" w:rsidRPr="00925C57">
        <w:t>preparation as well as energy minimization was</w:t>
      </w:r>
      <w:r w:rsidR="009E41C4" w:rsidRPr="00925C57">
        <w:t xml:space="preserve"> </w:t>
      </w:r>
      <w:r w:rsidR="00C32B6B" w:rsidRPr="00925C57">
        <w:t>achieved</w:t>
      </w:r>
      <w:r w:rsidR="009E41C4" w:rsidRPr="00925C57">
        <w:t xml:space="preserve"> with the help of MOE (Molecular Operating </w:t>
      </w:r>
      <w:r w:rsidR="00EA15BF" w:rsidRPr="00925C57">
        <w:t>Environment</w:t>
      </w:r>
      <w:r w:rsidR="009E41C4" w:rsidRPr="00925C57">
        <w:t>) software</w:t>
      </w:r>
      <w:r w:rsidR="003410A2" w:rsidRPr="00925C57">
        <w:t xml:space="preserve"> </w:t>
      </w:r>
      <w:r w:rsidR="00680A64" w:rsidRPr="00925C57">
        <w:fldChar w:fldCharType="begin" w:fldLock="1"/>
      </w:r>
      <w:r w:rsidR="00347A50" w:rsidRPr="00925C57">
        <w:instrText>ADDIN CSL_CITATION {"citationItems":[{"id":"ITEM-1","itemData":{"ISBN":"9788578110796","ISSN":"1098-6596","abstract":"Molecular Operating Environment (MOE), 2011.10; Chemical Computing Group Inc., 1010 Sherbooke St. West, Suite #910, Montreal, QC, Canada, H3A 2R7, 2011.","author":[{"dropping-particle":"","family":"Molecular Operating Environment (MOE)","given":"2013.08","non-dropping-particle":"","parse-names":false,"suffix":""}],"container-title":"Molecular Operating Environment (MOE), 2013.08; Chemical Computing Group Inc., 1010 Sherbooke St. West, Suite #910, Montreal, QC, Canada, H3A 2R7, 2013.","id":"ITEM-1","issued":{"date-parts":[["2016"]]},"title":"Molecular Operating Environment (MOE), 2013.08; Chemical Computing Group Inc., 1010 Sherbooke St. West, Suite #910, Montreal, QC, Canada, H3A 2R7.","type":"article-journal"},"uris":["http://www.mendeley.com/documents/?uuid=13a61495-3d6d-4862-bd04-569a152741f0"]}],"mendeley":{"formattedCitation":"[31]","plainTextFormattedCitation":"[31]","previouslyFormattedCitation":"[31]"},"properties":{"noteIndex":0},"schema":"https://github.com/citation-style-language/schema/raw/master/csl-citation.json"}</w:instrText>
      </w:r>
      <w:r w:rsidR="00680A64" w:rsidRPr="00925C57">
        <w:fldChar w:fldCharType="separate"/>
      </w:r>
      <w:r w:rsidR="00347A50" w:rsidRPr="00925C57">
        <w:t>[31]</w:t>
      </w:r>
      <w:r w:rsidR="00680A64" w:rsidRPr="00925C57">
        <w:fldChar w:fldCharType="end"/>
      </w:r>
      <w:r w:rsidR="003410A2" w:rsidRPr="00925C57">
        <w:t>.</w:t>
      </w:r>
    </w:p>
    <w:p w14:paraId="092E1861" w14:textId="335FDDAA" w:rsidR="00786D32" w:rsidRPr="00925C57" w:rsidRDefault="00235BD9" w:rsidP="0079274B">
      <w:pPr>
        <w:pStyle w:val="MDPI22heading2"/>
        <w:spacing w:before="240"/>
      </w:pPr>
      <w:r w:rsidRPr="00925C57">
        <w:t xml:space="preserve">6.2. </w:t>
      </w:r>
      <w:r w:rsidR="007027FA" w:rsidRPr="00925C57">
        <w:t>Molecul</w:t>
      </w:r>
      <w:r w:rsidR="00667FB7" w:rsidRPr="00925C57">
        <w:t xml:space="preserve">ar </w:t>
      </w:r>
      <w:r w:rsidR="00EF669F" w:rsidRPr="00925C57">
        <w:t>D</w:t>
      </w:r>
      <w:r w:rsidR="007027FA" w:rsidRPr="00925C57">
        <w:t>ocking</w:t>
      </w:r>
      <w:r w:rsidR="00667FB7" w:rsidRPr="00925C57">
        <w:t>.</w:t>
      </w:r>
    </w:p>
    <w:p w14:paraId="2A219BB7" w14:textId="6FAA6AE3" w:rsidR="007027FA" w:rsidRPr="00925C57" w:rsidRDefault="00277470" w:rsidP="0079274B">
      <w:pPr>
        <w:pStyle w:val="MDPI31text"/>
        <w:rPr>
          <w:b/>
        </w:rPr>
      </w:pPr>
      <w:r w:rsidRPr="00925C57">
        <w:rPr>
          <w:b/>
        </w:rPr>
        <w:t>AutoD</w:t>
      </w:r>
      <w:r w:rsidR="00FA1532" w:rsidRPr="00925C57">
        <w:rPr>
          <w:b/>
        </w:rPr>
        <w:t>ock</w:t>
      </w:r>
      <w:r w:rsidR="009E41C4" w:rsidRPr="00925C57">
        <w:rPr>
          <w:b/>
        </w:rPr>
        <w:t>.</w:t>
      </w:r>
      <w:r w:rsidR="0079274B" w:rsidRPr="00925C57">
        <w:rPr>
          <w:b/>
        </w:rPr>
        <w:t xml:space="preserve"> </w:t>
      </w:r>
      <w:r w:rsidR="007027FA" w:rsidRPr="00925C57">
        <w:t xml:space="preserve">The </w:t>
      </w:r>
      <w:r w:rsidR="0008115D" w:rsidRPr="00925C57">
        <w:t>AutoD</w:t>
      </w:r>
      <w:r w:rsidR="007027FA" w:rsidRPr="00925C57">
        <w:t xml:space="preserve">ock </w:t>
      </w:r>
      <w:r w:rsidR="00102532" w:rsidRPr="00925C57">
        <w:t>4.2.6</w:t>
      </w:r>
      <w:r w:rsidR="003410A2" w:rsidRPr="00925C57">
        <w:t xml:space="preserve"> </w:t>
      </w:r>
      <w:r w:rsidR="001B1B31" w:rsidRPr="00925C57">
        <w:fldChar w:fldCharType="begin" w:fldLock="1"/>
      </w:r>
      <w:r w:rsidR="00347A50" w:rsidRPr="00925C57">
        <w:instrText>ADDIN CSL_CITATION {"citationItems":[{"id":"ITEM-1","itemData":{"DOI":"10.1002/jcc.21256.AutoDock4","ISBN":"1096-987X","ISSN":"1096-987X","PMID":"20928852","abstract":"We herein present the graphical user interface (GUI) TmoleX for the quantum chemical program package TURBOMOLE. TmoleX allows users to execute the complete workflow of a quantum chemical investigation from the initial building of a structure to the visualization of the results in a user friendly graphical front end. The purpose of TmoleX is to make TURBOMOLE easy to use and to provide a high degree of flexibility. Hence, it should be a valuable tool for most users from beginners to experts. The program is developed in Java and runs on Linux, Windows, and Mac platforms. It can be used to run calculations on local desktops as well as on remote computers.","author":[{"dropping-particle":"","family":"Morris","given":"Gm","non-dropping-particle":"","parse-names":false,"suffix":""},{"dropping-particle":"","family":"Huey","given":"Ruth","non-dropping-particle":"","parse-names":false,"suffix":""}],"container-title":"Journal of …","id":"ITEM-1","issue":"16","issued":{"date-parts":[["2009"]]},"page":"2785-2791","title":"AutoDock4 and AutoDockTools4: Automated docking with selective receptor flexibility","type":"article-journal","volume":"30"},"uris":["http://www.mendeley.com/documents/?uuid=50e332fb-b723-4315-9ffa-da36a8a18c86"]}],"mendeley":{"formattedCitation":"[32]","plainTextFormattedCitation":"[32]","previouslyFormattedCitation":"[32]"},"properties":{"noteIndex":0},"schema":"https://github.com/citation-style-language/schema/raw/master/csl-citation.json"}</w:instrText>
      </w:r>
      <w:r w:rsidR="001B1B31" w:rsidRPr="00925C57">
        <w:fldChar w:fldCharType="separate"/>
      </w:r>
      <w:r w:rsidR="00347A50" w:rsidRPr="00925C57">
        <w:t>[32]</w:t>
      </w:r>
      <w:r w:rsidR="001B1B31" w:rsidRPr="00925C57">
        <w:fldChar w:fldCharType="end"/>
      </w:r>
      <w:r w:rsidR="00102532" w:rsidRPr="00925C57">
        <w:t xml:space="preserve"> </w:t>
      </w:r>
      <w:r w:rsidR="001B1B31" w:rsidRPr="00925C57">
        <w:t>software</w:t>
      </w:r>
      <w:r w:rsidR="00090407" w:rsidRPr="00925C57">
        <w:t xml:space="preserve"> along with MGL tools was obtained</w:t>
      </w:r>
      <w:r w:rsidR="00667FB7" w:rsidRPr="00925C57">
        <w:t xml:space="preserve"> from the site of</w:t>
      </w:r>
      <w:r w:rsidR="00102532" w:rsidRPr="00925C57">
        <w:t xml:space="preserve"> “</w:t>
      </w:r>
      <w:r w:rsidR="007027FA" w:rsidRPr="00925C57">
        <w:t>The Scripps Research Institute</w:t>
      </w:r>
      <w:r w:rsidR="00102532" w:rsidRPr="00925C57">
        <w:t xml:space="preserve">” </w:t>
      </w:r>
      <w:r w:rsidR="00090407" w:rsidRPr="00925C57">
        <w:t>(</w:t>
      </w:r>
      <w:r w:rsidR="00102532" w:rsidRPr="00925C57">
        <w:t>http://autodock.scripps.edu/downloads/autodock-registration/autodock-4-2-download-page/</w:t>
      </w:r>
      <w:r w:rsidR="00090407" w:rsidRPr="00925C57">
        <w:t>)</w:t>
      </w:r>
      <w:r w:rsidR="007027FA" w:rsidRPr="00925C57">
        <w:t xml:space="preserve"> </w:t>
      </w:r>
      <w:r w:rsidR="00090407" w:rsidRPr="00925C57">
        <w:t>to perform</w:t>
      </w:r>
      <w:r w:rsidR="007027FA" w:rsidRPr="00925C57">
        <w:t xml:space="preserve"> molecular docking simulations</w:t>
      </w:r>
      <w:r w:rsidR="00090407" w:rsidRPr="00925C57">
        <w:t>.</w:t>
      </w:r>
    </w:p>
    <w:p w14:paraId="665F8B0D" w14:textId="713093FE" w:rsidR="007027FA" w:rsidRPr="00925C57" w:rsidRDefault="00182F99" w:rsidP="0079274B">
      <w:pPr>
        <w:pStyle w:val="MDPI31text"/>
      </w:pPr>
      <w:r w:rsidRPr="00925C57">
        <w:rPr>
          <w:spacing w:val="3"/>
        </w:rPr>
        <w:lastRenderedPageBreak/>
        <w:t>The structures of proteins were protonated and</w:t>
      </w:r>
      <w:r w:rsidR="007027FA" w:rsidRPr="00925C57">
        <w:rPr>
          <w:spacing w:val="3"/>
        </w:rPr>
        <w:t xml:space="preserve"> the rotatable bonds </w:t>
      </w:r>
      <w:r w:rsidRPr="00925C57">
        <w:rPr>
          <w:spacing w:val="3"/>
        </w:rPr>
        <w:t xml:space="preserve">for the ligands </w:t>
      </w:r>
      <w:r w:rsidR="007027FA" w:rsidRPr="00925C57">
        <w:rPr>
          <w:spacing w:val="3"/>
        </w:rPr>
        <w:t xml:space="preserve">were clearly defined. </w:t>
      </w:r>
      <w:r w:rsidR="007027FA" w:rsidRPr="00925C57">
        <w:t xml:space="preserve">The dimension of the grid box was set </w:t>
      </w:r>
      <w:r w:rsidR="00E736AD" w:rsidRPr="00925C57">
        <w:t>to</w:t>
      </w:r>
      <w:r w:rsidR="007027FA" w:rsidRPr="00925C57">
        <w:t xml:space="preserve"> 50 Å × 50 Å × 50 Å for all the docking simulations with spacing of 0.375 Å. The center of the grid box was placed so that it involved the residues of the active site of the protein and coincided with </w:t>
      </w:r>
      <w:r w:rsidR="0034060B" w:rsidRPr="00925C57">
        <w:t xml:space="preserve">the center of </w:t>
      </w:r>
      <w:r w:rsidR="007027FA" w:rsidRPr="00925C57">
        <w:t>ligand in the active site.</w:t>
      </w:r>
    </w:p>
    <w:p w14:paraId="2C0BA1B4" w14:textId="5D206A2F" w:rsidR="00277470" w:rsidRPr="00925C57" w:rsidRDefault="007027FA" w:rsidP="0079274B">
      <w:pPr>
        <w:pStyle w:val="MDPI31text"/>
        <w:rPr>
          <w:spacing w:val="3"/>
        </w:rPr>
      </w:pPr>
      <w:r w:rsidRPr="00925C57">
        <w:rPr>
          <w:spacing w:val="3"/>
        </w:rPr>
        <w:t>Lamar</w:t>
      </w:r>
      <w:r w:rsidR="00374E87" w:rsidRPr="00925C57">
        <w:rPr>
          <w:spacing w:val="3"/>
        </w:rPr>
        <w:t xml:space="preserve">ckian genetic algorithm (GA) was applied for </w:t>
      </w:r>
      <w:r w:rsidR="00102532" w:rsidRPr="00925C57">
        <w:rPr>
          <w:spacing w:val="3"/>
        </w:rPr>
        <w:t xml:space="preserve">all the </w:t>
      </w:r>
      <w:r w:rsidR="00374E87" w:rsidRPr="00925C57">
        <w:rPr>
          <w:spacing w:val="3"/>
        </w:rPr>
        <w:t>docking simulations</w:t>
      </w:r>
      <w:r w:rsidRPr="00925C57">
        <w:rPr>
          <w:spacing w:val="3"/>
        </w:rPr>
        <w:t>.</w:t>
      </w:r>
      <w:r w:rsidRPr="00925C57">
        <w:t xml:space="preserve"> The orientation, torsions and position of the drug molecule were set arbitrarily. 5</w:t>
      </w:r>
      <w:r w:rsidR="00374E87" w:rsidRPr="00925C57">
        <w:t>0 runs GA were performed</w:t>
      </w:r>
      <w:r w:rsidRPr="00925C57">
        <w:t xml:space="preserve"> for each docking and 2,500,000 energy evaluations were done with a total population size of 150. The final </w:t>
      </w:r>
      <w:r w:rsidR="00D02891" w:rsidRPr="00925C57">
        <w:t xml:space="preserve">analysis of ligand conformations as well as their </w:t>
      </w:r>
      <w:r w:rsidR="00D02891" w:rsidRPr="00925C57">
        <w:rPr>
          <w:spacing w:val="3"/>
        </w:rPr>
        <w:t>interaction profile with receptor was</w:t>
      </w:r>
      <w:r w:rsidRPr="00925C57">
        <w:rPr>
          <w:spacing w:val="3"/>
        </w:rPr>
        <w:t xml:space="preserve"> performed using PyMol </w:t>
      </w:r>
      <w:r w:rsidR="00374E87" w:rsidRPr="00925C57">
        <w:rPr>
          <w:spacing w:val="3"/>
        </w:rPr>
        <w:t xml:space="preserve">software </w:t>
      </w:r>
      <w:r w:rsidRPr="00925C57">
        <w:rPr>
          <w:spacing w:val="3"/>
        </w:rPr>
        <w:t>version 2.3</w:t>
      </w:r>
      <w:r w:rsidR="003410A2" w:rsidRPr="00925C57">
        <w:rPr>
          <w:spacing w:val="3"/>
        </w:rPr>
        <w:t xml:space="preserve"> </w:t>
      </w:r>
      <w:r w:rsidR="003515EA" w:rsidRPr="00925C57">
        <w:rPr>
          <w:spacing w:val="3"/>
        </w:rPr>
        <w:fldChar w:fldCharType="begin" w:fldLock="1"/>
      </w:r>
      <w:r w:rsidR="00347A50" w:rsidRPr="00925C57">
        <w:rPr>
          <w:spacing w:val="3"/>
        </w:rPr>
        <w:instrText>ADDIN CSL_CITATION {"citationItems":[{"id":"ITEM-1","itemData":{"id":"ITEM-1","issued":{"date-parts":[["0"]]},"title":"The PyMOL Molecular Graphics System, Version 1.2r3pre, Schrödinger, LLC","type":"article-journal"},"uris":["http://www.mendeley.com/documents/?uuid=87c5a104-910a-4a91-b4cb-ddd3ab191fa5","http://www.mendeley.com/documents/?uuid=bf3e1965-a982-4113-8e80-ac6e460357b2"]}],"mendeley":{"formattedCitation":"[33]","plainTextFormattedCitation":"[33]","previouslyFormattedCitation":"[33]"},"properties":{"noteIndex":0},"schema":"https://github.com/citation-style-language/schema/raw/master/csl-citation.json"}</w:instrText>
      </w:r>
      <w:r w:rsidR="003515EA" w:rsidRPr="00925C57">
        <w:rPr>
          <w:spacing w:val="3"/>
        </w:rPr>
        <w:fldChar w:fldCharType="separate"/>
      </w:r>
      <w:r w:rsidR="00347A50" w:rsidRPr="00925C57">
        <w:rPr>
          <w:spacing w:val="3"/>
        </w:rPr>
        <w:t>[33]</w:t>
      </w:r>
      <w:r w:rsidR="003515EA" w:rsidRPr="00925C57">
        <w:rPr>
          <w:spacing w:val="3"/>
        </w:rPr>
        <w:fldChar w:fldCharType="end"/>
      </w:r>
      <w:r w:rsidR="003410A2" w:rsidRPr="00925C57">
        <w:rPr>
          <w:spacing w:val="3"/>
        </w:rPr>
        <w:t>.</w:t>
      </w:r>
    </w:p>
    <w:p w14:paraId="272DF398" w14:textId="347D0C29" w:rsidR="00053A36" w:rsidRPr="00925C57" w:rsidRDefault="00053A36" w:rsidP="00235BD9">
      <w:pPr>
        <w:pStyle w:val="MDPI31text"/>
        <w:rPr>
          <w:spacing w:val="3"/>
        </w:rPr>
      </w:pPr>
      <w:r w:rsidRPr="00925C57">
        <w:rPr>
          <w:b/>
          <w:spacing w:val="3"/>
        </w:rPr>
        <w:t>GOLD</w:t>
      </w:r>
      <w:r w:rsidRPr="00925C57">
        <w:rPr>
          <w:spacing w:val="3"/>
        </w:rPr>
        <w:t>. Molecular docking us</w:t>
      </w:r>
      <w:r w:rsidR="00ED4BA3" w:rsidRPr="00925C57">
        <w:rPr>
          <w:spacing w:val="3"/>
        </w:rPr>
        <w:t>ing GOLD software was performed</w:t>
      </w:r>
      <w:r w:rsidRPr="00925C57">
        <w:rPr>
          <w:spacing w:val="3"/>
        </w:rPr>
        <w:t xml:space="preserve"> using version 5.5</w:t>
      </w:r>
      <w:r w:rsidR="003410A2" w:rsidRPr="00925C57">
        <w:rPr>
          <w:spacing w:val="3"/>
        </w:rPr>
        <w:t xml:space="preserve"> </w:t>
      </w:r>
      <w:r w:rsidRPr="00925C57">
        <w:rPr>
          <w:spacing w:val="3"/>
        </w:rPr>
        <w:fldChar w:fldCharType="begin" w:fldLock="1"/>
      </w:r>
      <w:r w:rsidR="00347A50" w:rsidRPr="00925C57">
        <w:rPr>
          <w:spacing w:val="3"/>
        </w:rPr>
        <w:instrText>ADDIN CSL_CITATION {"citationItems":[{"id":"ITEM-1","itemData":{"DOI":"10.1006/jmbi.1996.0897","ISBN":"0022-2836","ISSN":"00222836","PMID":"9126849","abstract":"Prediction of small molecule binding modes to macromolecules of known three-dimensional structure is a problem of paramount importance in rational drug design (the 'docking' problem). We report the development and validation of the program GOLD (Genetic Optimisation for Ligand Docking). GOLD is an automated ligand docking program that uses a genetic algorithm to explore the full range of ligand conformational flexibility with partial flexibility of the protein, and satisfies the fundamental requirement that the Ligand must displace loosely bound water on binding. Numerous enhancements and modifications have been applied to the original technique resulting in a substantial increase in the reliability and the applicability of the algorithm. The advanced algorithm has been tested on a dataset of 100 complexes extracted from the Brookhaven Protein DataBank. When used to dock the ligand back into the binding site, GOLD achieved a 71% success rate in identifying the experimental binding mode.","author":[{"dropping-particle":"","family":"Jones","given":"Gareth","non-dropping-particle":"","parse-names":false,"suffix":""},{"dropping-particle":"","family":"Willett","given":"Peter","non-dropping-particle":"","parse-names":false,"suffix":""},{"dropping-particle":"","family":"Glen","given":"Robert C.","non-dropping-particle":"","parse-names":false,"suffix":""},{"dropping-particle":"","family":"Leach","given":"Andrew R.","non-dropping-particle":"","parse-names":false,"suffix":""},{"dropping-particle":"","family":"Taylor","given":"Robin","non-dropping-particle":"","parse-names":false,"suffix":""}],"container-title":"Journal of Molecular Biology","id":"ITEM-1","issue":"3","issued":{"date-parts":[["1997"]]},"page":"727-748","title":"Development and validation of a genetic algorithm for flexible docking","type":"article-journal","volume":"267"},"uris":["http://www.mendeley.com/documents/?uuid=df0ef23e-fd0b-48dd-9d3b-299d22eab0fb"]}],"mendeley":{"formattedCitation":"[34]","plainTextFormattedCitation":"[34]","previouslyFormattedCitation":"[34]"},"properties":{"noteIndex":0},"schema":"https://github.com/citation-style-language/schema/raw/master/csl-citation.json"}</w:instrText>
      </w:r>
      <w:r w:rsidRPr="00925C57">
        <w:rPr>
          <w:spacing w:val="3"/>
        </w:rPr>
        <w:fldChar w:fldCharType="separate"/>
      </w:r>
      <w:bookmarkStart w:id="0" w:name="__Fieldmark__6767_875499089"/>
      <w:r w:rsidR="00347A50" w:rsidRPr="00925C57">
        <w:rPr>
          <w:spacing w:val="3"/>
        </w:rPr>
        <w:t>[34]</w:t>
      </w:r>
      <w:r w:rsidRPr="00925C57">
        <w:rPr>
          <w:spacing w:val="3"/>
        </w:rPr>
        <w:fldChar w:fldCharType="end"/>
      </w:r>
      <w:bookmarkEnd w:id="0"/>
      <w:r w:rsidR="003410A2" w:rsidRPr="00925C57">
        <w:rPr>
          <w:spacing w:val="3"/>
        </w:rPr>
        <w:t xml:space="preserve">. </w:t>
      </w:r>
      <w:r w:rsidRPr="00925C57">
        <w:rPr>
          <w:spacing w:val="3"/>
        </w:rPr>
        <w:t>Binding site residues were defined by specifying the crystal structure ligand coordinates bound to the protein and using the default cutoff radius of 6 Å, with the “detect cavity” op</w:t>
      </w:r>
      <w:r w:rsidR="002C16B3" w:rsidRPr="00925C57">
        <w:rPr>
          <w:spacing w:val="3"/>
        </w:rPr>
        <w:t xml:space="preserve">tion enabled. GOLD docking </w:t>
      </w:r>
      <w:r w:rsidR="006210E7" w:rsidRPr="00925C57">
        <w:rPr>
          <w:spacing w:val="3"/>
        </w:rPr>
        <w:t>was</w:t>
      </w:r>
      <w:r w:rsidR="002C16B3" w:rsidRPr="00925C57">
        <w:rPr>
          <w:spacing w:val="3"/>
        </w:rPr>
        <w:t xml:space="preserve"> </w:t>
      </w:r>
      <w:r w:rsidRPr="00925C57">
        <w:rPr>
          <w:spacing w:val="3"/>
        </w:rPr>
        <w:t>carried out using the ChemPLP sco</w:t>
      </w:r>
      <w:r w:rsidR="00EB21F6" w:rsidRPr="00925C57">
        <w:rPr>
          <w:spacing w:val="3"/>
        </w:rPr>
        <w:t>ring function. For each drug molecule</w:t>
      </w:r>
      <w:r w:rsidRPr="00925C57">
        <w:rPr>
          <w:spacing w:val="3"/>
        </w:rPr>
        <w:t>, 50 complexes were generated. The</w:t>
      </w:r>
      <w:r w:rsidR="00EB21F6" w:rsidRPr="00925C57">
        <w:rPr>
          <w:spacing w:val="3"/>
        </w:rPr>
        <w:t xml:space="preserve"> highest scoring drugs</w:t>
      </w:r>
      <w:r w:rsidRPr="00925C57">
        <w:rPr>
          <w:spacing w:val="3"/>
        </w:rPr>
        <w:t xml:space="preserve"> were selected as the most appropriate ones. </w:t>
      </w:r>
    </w:p>
    <w:p w14:paraId="16FA1837" w14:textId="77777777" w:rsidR="00B83911" w:rsidRPr="00925C57" w:rsidRDefault="00053A36" w:rsidP="0079274B">
      <w:pPr>
        <w:pStyle w:val="MDPI31text"/>
      </w:pPr>
      <w:r w:rsidRPr="00925C57">
        <w:rPr>
          <w:b/>
          <w:spacing w:val="3"/>
        </w:rPr>
        <w:t>MOE</w:t>
      </w:r>
      <w:r w:rsidRPr="00925C57">
        <w:rPr>
          <w:spacing w:val="3"/>
        </w:rPr>
        <w:t>. Docking has been performed by selecting the default “Rigid Receptor” protocol. As a binding site, the coordinates of co-crystalized ligand atoms have been</w:t>
      </w:r>
      <w:r w:rsidRPr="00925C57">
        <w:t xml:space="preserve"> selected. The ligand placement was performed using the Triangle Matcher protocol. The top 30 poses were ranked by London dG scoring function and the resulting 5 poses were identified using Generalized-Born Volume Integral / Weighted Surface Area (GBVI/WSA dG) function. The conformations with more negative final score were considered as </w:t>
      </w:r>
      <w:r w:rsidR="00EB21F6" w:rsidRPr="00925C57">
        <w:t>favorable</w:t>
      </w:r>
      <w:r w:rsidRPr="00925C57">
        <w:t>.</w:t>
      </w:r>
    </w:p>
    <w:p w14:paraId="28E6CF55" w14:textId="77D36ACA" w:rsidR="00053A36" w:rsidRPr="00925C57" w:rsidRDefault="00B83911" w:rsidP="0079274B">
      <w:pPr>
        <w:pStyle w:val="MDPI31text"/>
      </w:pPr>
      <w:r w:rsidRPr="00925C57">
        <w:t>RMSD values have been calculated using an online tool DockRMSD provided by Bell and Zhang</w:t>
      </w:r>
      <w:r w:rsidR="003410A2" w:rsidRPr="00925C57">
        <w:t xml:space="preserve"> </w:t>
      </w:r>
      <w:r w:rsidR="003515EA" w:rsidRPr="00925C57">
        <w:fldChar w:fldCharType="begin" w:fldLock="1"/>
      </w:r>
      <w:r w:rsidR="00347A50" w:rsidRPr="00925C57">
        <w:instrText>ADDIN CSL_CITATION {"citationItems":[{"id":"ITEM-1","itemData":{"DOI":"10.1186/s13321-019-0362-7","ISSN":"17582946","abstract":"Comparison of ligand poses generated by protein–ligand docking programs has often been carried out with the assumption of direct atomic correspondence between ligand structures. However, this correspondence is not necessarily chemically relevant for symmetric molecules and can lead to an artificial inflation of ligand pose distance metrics, particularly those that depend on receptor superposition (rather than ligand superposition), such as docking root mean square deviation (RMSD). Several of the commonly-used RMSD calculation algorithms that correct for molecular symmetry do not take into account the bonding structure of molecules and can therefore result in non-physical atomic mapping. Here, we present DockRMSD, a docking pose distance calculator that converts the symmetry correction to a graph isomorphism searching problem, in which the optimal atomic mapping and RMSD calculation are performed by an exhaustive and fast matching search of all isomorphisms of the ligand structure graph. We show through evaluation of docking poses generated by AutoDock Vina on the CSAR Hi-Q set that DockRMSD is capable of deterministically identifying the minimum symmetry-corrected RMSD and is able to do so without significant loss of computational efficiency compared to other methods. The open-source DockRMSD program can be conveniently integrated with various docking pipelines to assist with accurate atomic mapping and RMSD calculations, which can therefore help improve docking performance, especially for ligand molecules with complicated structural symmetry.","author":[{"dropping-particle":"","family":"Bell","given":"Eric W.","non-dropping-particle":"","parse-names":false,"suffix":""},{"dropping-particle":"","family":"Zhang","given":"Yang","non-dropping-particle":"","parse-names":false,"suffix":""}],"container-title":"Journal of Cheminformatics","id":"ITEM-1","issue":"1","issued":{"date-parts":[["2019"]]},"title":"DockRMSD: An open-source tool for atom mapping and RMSD calculation of symmetric molecules through graph isomorphism","type":"article-journal","volume":"11"},"uris":["http://www.mendeley.com/documents/?uuid=38754d80-58e6-4f8d-991d-bb7ef694925a","http://www.mendeley.com/documents/?uuid=d0ac7718-fe75-449b-af49-762299ebd47f"]}],"mendeley":{"formattedCitation":"[35]","plainTextFormattedCitation":"[35]","previouslyFormattedCitation":"[35]"},"properties":{"noteIndex":0},"schema":"https://github.com/citation-style-language/schema/raw/master/csl-citation.json"}</w:instrText>
      </w:r>
      <w:r w:rsidR="003515EA" w:rsidRPr="00925C57">
        <w:fldChar w:fldCharType="separate"/>
      </w:r>
      <w:r w:rsidR="00347A50" w:rsidRPr="00925C57">
        <w:t>[35]</w:t>
      </w:r>
      <w:r w:rsidR="003515EA" w:rsidRPr="00925C57">
        <w:fldChar w:fldCharType="end"/>
      </w:r>
      <w:r w:rsidR="003410A2" w:rsidRPr="00925C57">
        <w:t>.</w:t>
      </w:r>
    </w:p>
    <w:p w14:paraId="24CF574A" w14:textId="12BCD325" w:rsidR="00EE5830" w:rsidRPr="00925C57" w:rsidRDefault="00235BD9" w:rsidP="0079274B">
      <w:pPr>
        <w:pStyle w:val="MDPI22heading2"/>
        <w:spacing w:before="240"/>
      </w:pPr>
      <w:r w:rsidRPr="00925C57">
        <w:t xml:space="preserve">6.3. </w:t>
      </w:r>
      <w:r w:rsidR="00ED4BA3" w:rsidRPr="00925C57">
        <w:t xml:space="preserve">Prediction of </w:t>
      </w:r>
      <w:r w:rsidR="00EF669F" w:rsidRPr="00925C57">
        <w:t>P</w:t>
      </w:r>
      <w:r w:rsidR="00667FB7" w:rsidRPr="00925C57">
        <w:t xml:space="preserve">harmacokinetic </w:t>
      </w:r>
      <w:r w:rsidR="00EF669F" w:rsidRPr="00925C57">
        <w:t>P</w:t>
      </w:r>
      <w:r w:rsidR="00667FB7" w:rsidRPr="00925C57">
        <w:t>roperties.</w:t>
      </w:r>
    </w:p>
    <w:p w14:paraId="58522C6F" w14:textId="7CEF7D43" w:rsidR="00667FB7" w:rsidRDefault="00667FB7" w:rsidP="0079274B">
      <w:pPr>
        <w:pStyle w:val="MDPI31text"/>
      </w:pPr>
      <w:r w:rsidRPr="00925C57">
        <w:t>The ADMET properties of the compounds were predicted with the help of pkCSM</w:t>
      </w:r>
      <w:r w:rsidR="003410A2" w:rsidRPr="00925C57">
        <w:t xml:space="preserve"> </w:t>
      </w:r>
      <w:r w:rsidR="003515EA" w:rsidRPr="00925C57">
        <w:fldChar w:fldCharType="begin" w:fldLock="1"/>
      </w:r>
      <w:r w:rsidR="00347A50" w:rsidRPr="00925C57">
        <w:instrText>ADDIN CSL_CITATION {"citationItems":[{"id":"ITEM-1","itemData":{"DOI":"10.1021/acs.jmedchem.5b00104","ISSN":"15204804","PMID":"25860834","abstract":"Drug development has a high attrition rate, with poor pharmacokinetic and safety properties a significant hurdle. Computational approaches may help minimize these risks. We have developed a novel approach (pkCSM) which uses graph-based signatures to develop predictive models of central ADMET properties for drug development. pkCSM performs as well or better than current methods. A freely accessible web server (http://structure.bioc.cam.ac.uk/pkcsm), which retains no information submitted to it, provides an integrated platform to rapidly evaluate pharmacokinetic and toxicity properties.","author":[{"dropping-particle":"","family":"Pires","given":"Douglas E.V.","non-dropping-particle":"","parse-names":false,"suffix":""},{"dropping-particle":"","family":"Blundell","given":"Tom L.","non-dropping-particle":"","parse-names":false,"suffix":""},{"dropping-particle":"","family":"Ascher","given":"David B.","non-dropping-particle":"","parse-names":false,"suffix":""}],"container-title":"Journal of Medicinal Chemistry","id":"ITEM-1","issue":"9","issued":{"date-parts":[["2015"]]},"page":"4066-4072","title":"pkCSM: Predicting small-molecule pharmacokinetic and toxicity properties using graph-based signatures","type":"article-journal","volume":"58"},"uris":["http://www.mendeley.com/documents/?uuid=9a7a9660-a332-4fbe-a54f-8ab7ea8942d0","http://www.mendeley.com/documents/?uuid=5d15c98c-3fe0-432d-843d-564838628e5e"]}],"mendeley":{"formattedCitation":"[15]","plainTextFormattedCitation":"[15]","previouslyFormattedCitation":"[15]"},"properties":{"noteIndex":0},"schema":"https://github.com/citation-style-language/schema/raw/master/csl-citation.json"}</w:instrText>
      </w:r>
      <w:r w:rsidR="003515EA" w:rsidRPr="00925C57">
        <w:fldChar w:fldCharType="separate"/>
      </w:r>
      <w:r w:rsidR="00347A50" w:rsidRPr="00925C57">
        <w:t>[15]</w:t>
      </w:r>
      <w:r w:rsidR="003515EA" w:rsidRPr="00925C57">
        <w:fldChar w:fldCharType="end"/>
      </w:r>
      <w:r w:rsidR="003515EA" w:rsidRPr="00925C57">
        <w:t xml:space="preserve"> online server tools</w:t>
      </w:r>
      <w:r w:rsidRPr="00925C57">
        <w:t xml:space="preserve"> available at (</w:t>
      </w:r>
      <w:hyperlink r:id="rId16" w:history="1">
        <w:r w:rsidRPr="00925C57">
          <w:t>http://biosig.unimelb.edu.au/pkcsm/</w:t>
        </w:r>
      </w:hyperlink>
      <w:r w:rsidRPr="00925C57">
        <w:t>). The values were round</w:t>
      </w:r>
      <w:r w:rsidR="00804467" w:rsidRPr="00925C57">
        <w:t>ed</w:t>
      </w:r>
      <w:r w:rsidRPr="00925C57">
        <w:t xml:space="preserve"> to the first decimal.</w:t>
      </w:r>
    </w:p>
    <w:p w14:paraId="02A903FB" w14:textId="0B725047" w:rsidR="004B7EAE" w:rsidRDefault="004B7EAE" w:rsidP="004B7EAE">
      <w:pPr>
        <w:pStyle w:val="MDPI22heading2"/>
        <w:spacing w:before="240"/>
      </w:pPr>
      <w:r w:rsidRPr="00925C57">
        <w:t>6.</w:t>
      </w:r>
      <w:r>
        <w:t>4</w:t>
      </w:r>
      <w:r w:rsidRPr="00925C57">
        <w:t>. P</w:t>
      </w:r>
      <w:r>
        <w:t xml:space="preserve">DB Files for </w:t>
      </w:r>
      <w:r w:rsidR="00073531">
        <w:t xml:space="preserve">the </w:t>
      </w:r>
      <w:r>
        <w:t>N9-Drug Complexes Obtained from Molec</w:t>
      </w:r>
      <w:r w:rsidR="00325F80">
        <w:t>u</w:t>
      </w:r>
      <w:r>
        <w:t>lar Docking</w:t>
      </w:r>
      <w:r w:rsidRPr="00925C57">
        <w:t>.</w:t>
      </w:r>
    </w:p>
    <w:p w14:paraId="71BFEE75" w14:textId="34C81ACB" w:rsidR="004B7EAE" w:rsidRPr="004B7EAE" w:rsidRDefault="004B7EAE" w:rsidP="009951B3">
      <w:pPr>
        <w:pStyle w:val="MDPI22heading2"/>
        <w:spacing w:before="240"/>
        <w:jc w:val="both"/>
        <w:rPr>
          <w:i w:val="0"/>
          <w:iCs/>
        </w:rPr>
      </w:pPr>
      <w:r>
        <w:rPr>
          <w:i w:val="0"/>
          <w:iCs/>
        </w:rPr>
        <w:t xml:space="preserve">The PDB files for all studied </w:t>
      </w:r>
      <w:r w:rsidR="00E072E4">
        <w:rPr>
          <w:i w:val="0"/>
          <w:iCs/>
        </w:rPr>
        <w:t>N9 – drug complexes obtained from molecular docking simulations can be accessed via the f</w:t>
      </w:r>
      <w:r w:rsidR="002A54DC">
        <w:rPr>
          <w:i w:val="0"/>
          <w:iCs/>
        </w:rPr>
        <w:t>o</w:t>
      </w:r>
      <w:r w:rsidR="00E072E4">
        <w:rPr>
          <w:i w:val="0"/>
          <w:iCs/>
        </w:rPr>
        <w:t>llowing link:</w:t>
      </w:r>
    </w:p>
    <w:p w14:paraId="0AA56DB4" w14:textId="77777777" w:rsidR="004B7EAE" w:rsidRDefault="004B7EAE" w:rsidP="0079274B">
      <w:pPr>
        <w:pStyle w:val="MDPI31text"/>
      </w:pPr>
    </w:p>
    <w:p w14:paraId="2A263106" w14:textId="77777777" w:rsidR="004B7EAE" w:rsidRPr="00925C57" w:rsidRDefault="004B7EAE" w:rsidP="004B7EAE">
      <w:pPr>
        <w:pStyle w:val="MDPI31text"/>
        <w:ind w:left="0" w:firstLine="0"/>
      </w:pPr>
    </w:p>
    <w:p w14:paraId="635489E2" w14:textId="04B4CFFB" w:rsidR="00536C6A" w:rsidRPr="00925C57" w:rsidRDefault="0079274B" w:rsidP="0079274B">
      <w:pPr>
        <w:pStyle w:val="MDPI62BackMatter"/>
        <w:spacing w:before="240"/>
      </w:pPr>
      <w:r w:rsidRPr="00925C57">
        <w:rPr>
          <w:b/>
        </w:rPr>
        <w:t>Author Contribution</w:t>
      </w:r>
      <w:r w:rsidR="002C0F70" w:rsidRPr="00925C57">
        <w:rPr>
          <w:b/>
        </w:rPr>
        <w:t>s</w:t>
      </w:r>
      <w:r w:rsidRPr="00925C57">
        <w:rPr>
          <w:b/>
        </w:rPr>
        <w:t xml:space="preserve">: </w:t>
      </w:r>
      <w:r w:rsidR="00F308FF" w:rsidRPr="00925C57">
        <w:t>E</w:t>
      </w:r>
      <w:r w:rsidR="00536C6A" w:rsidRPr="00925C57">
        <w:t xml:space="preserve">S planned the study, performed the docking of the compounds using GOLD and MOE software, </w:t>
      </w:r>
      <w:r w:rsidR="00F308FF" w:rsidRPr="00925C57">
        <w:t xml:space="preserve">made </w:t>
      </w:r>
      <w:r w:rsidR="00F308FF" w:rsidRPr="00925C57">
        <w:rPr>
          <w:i/>
        </w:rPr>
        <w:t xml:space="preserve">in silico </w:t>
      </w:r>
      <w:r w:rsidR="00F308FF" w:rsidRPr="00925C57">
        <w:t>predictions of ADMET properties for the drugs</w:t>
      </w:r>
      <w:r w:rsidR="000C68DE" w:rsidRPr="00925C57">
        <w:t>, analyzed the data made</w:t>
      </w:r>
      <w:r w:rsidR="00536C6A" w:rsidRPr="00925C57">
        <w:t xml:space="preserve"> Tables 2</w:t>
      </w:r>
      <w:r w:rsidR="00F308FF" w:rsidRPr="00925C57">
        <w:t>, 3 and 7</w:t>
      </w:r>
      <w:r w:rsidR="00536C6A" w:rsidRPr="00925C57">
        <w:t xml:space="preserve">, Figures </w:t>
      </w:r>
      <w:r w:rsidR="00F308FF" w:rsidRPr="00925C57">
        <w:t>2-6 and drafted the manuscript. TAS performed the docking of the compounds using AutoDock software, made Tables 1 and 5, Figure 1</w:t>
      </w:r>
      <w:r w:rsidR="000C68DE" w:rsidRPr="00925C57">
        <w:t>, analyzed the data</w:t>
      </w:r>
      <w:r w:rsidR="00F308FF" w:rsidRPr="00925C57">
        <w:t xml:space="preserve"> and participated in </w:t>
      </w:r>
      <w:r w:rsidR="00B56308" w:rsidRPr="00925C57">
        <w:t xml:space="preserve">the </w:t>
      </w:r>
      <w:r w:rsidR="00F308FF" w:rsidRPr="00925C57">
        <w:t xml:space="preserve">manuscript draft and editing. ES and TAS made </w:t>
      </w:r>
      <w:r w:rsidR="00806254" w:rsidRPr="00925C57">
        <w:t>together Tables 4 and 6. TD supervised</w:t>
      </w:r>
      <w:r w:rsidR="00F308FF" w:rsidRPr="00925C57">
        <w:t xml:space="preserve"> the study, analyzed </w:t>
      </w:r>
      <w:r w:rsidR="00B56308" w:rsidRPr="00925C57">
        <w:t>the</w:t>
      </w:r>
      <w:r w:rsidR="00F308FF" w:rsidRPr="00925C57">
        <w:t xml:space="preserve"> data and participated in manuscript </w:t>
      </w:r>
      <w:r w:rsidR="00806254" w:rsidRPr="00925C57">
        <w:t>draft and editing. All authors finalized the manuscript together.</w:t>
      </w:r>
    </w:p>
    <w:p w14:paraId="634D4C34" w14:textId="5FDCE0B6" w:rsidR="00EE5830" w:rsidRPr="00925C57" w:rsidRDefault="00536C6A" w:rsidP="0079274B">
      <w:pPr>
        <w:pStyle w:val="MDPI62BackMatter"/>
      </w:pPr>
      <w:r w:rsidRPr="00925C57">
        <w:rPr>
          <w:b/>
        </w:rPr>
        <w:t>Funding</w:t>
      </w:r>
      <w:r w:rsidR="0079274B" w:rsidRPr="00925C57">
        <w:rPr>
          <w:b/>
        </w:rPr>
        <w:t>:</w:t>
      </w:r>
      <w:r w:rsidR="0079274B" w:rsidRPr="00925C57">
        <w:t xml:space="preserve"> </w:t>
      </w:r>
      <w:r w:rsidR="00B56308" w:rsidRPr="00925C57">
        <w:t>We thank DFG (270563345 /GRK2157 3DInfect) and Land Bavaria for support (contribution to DFG Project number</w:t>
      </w:r>
      <w:r w:rsidR="00FE407B" w:rsidRPr="00925C57">
        <w:t xml:space="preserve"> </w:t>
      </w:r>
      <w:r w:rsidR="00B56308" w:rsidRPr="00925C57">
        <w:t>324392634 – TRR 221/INF).</w:t>
      </w:r>
    </w:p>
    <w:p w14:paraId="221DA9F1" w14:textId="0E042DC7" w:rsidR="002928B4" w:rsidRPr="00925C57" w:rsidRDefault="001004A5" w:rsidP="0079274B">
      <w:pPr>
        <w:pStyle w:val="MDPI21heading1"/>
        <w:ind w:left="0"/>
      </w:pPr>
      <w:r w:rsidRPr="00925C57">
        <w:t xml:space="preserve">References </w:t>
      </w:r>
    </w:p>
    <w:p w14:paraId="1EACF35C" w14:textId="686D4805" w:rsidR="00347A50" w:rsidRPr="00925C57" w:rsidRDefault="00BF79F8"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b/>
          <w:sz w:val="18"/>
          <w:szCs w:val="24"/>
          <w:lang w:val="en-US"/>
        </w:rPr>
        <w:fldChar w:fldCharType="begin" w:fldLock="1"/>
      </w:r>
      <w:r w:rsidRPr="00925C57">
        <w:rPr>
          <w:rFonts w:ascii="Palatino Linotype" w:hAnsi="Palatino Linotype" w:cs="Times New Roman"/>
          <w:b/>
          <w:sz w:val="18"/>
          <w:szCs w:val="24"/>
          <w:lang w:val="en-US"/>
        </w:rPr>
        <w:instrText xml:space="preserve">ADDIN Mendeley Bibliography CSL_BIBLIOGRAPHY </w:instrText>
      </w:r>
      <w:r w:rsidRPr="00925C57">
        <w:rPr>
          <w:rFonts w:ascii="Palatino Linotype" w:hAnsi="Palatino Linotype" w:cs="Times New Roman"/>
          <w:b/>
          <w:sz w:val="18"/>
          <w:szCs w:val="24"/>
          <w:lang w:val="en-US"/>
        </w:rPr>
        <w:fldChar w:fldCharType="separate"/>
      </w:r>
      <w:r w:rsidR="00347A50" w:rsidRPr="00925C57">
        <w:rPr>
          <w:rFonts w:ascii="Palatino Linotype" w:hAnsi="Palatino Linotype" w:cs="Times New Roman"/>
          <w:sz w:val="18"/>
          <w:szCs w:val="24"/>
          <w:lang w:val="en-US"/>
        </w:rPr>
        <w:t xml:space="preserve">1. </w:t>
      </w:r>
      <w:r w:rsidR="00347A50" w:rsidRPr="00925C57">
        <w:rPr>
          <w:rFonts w:ascii="Palatino Linotype" w:hAnsi="Palatino Linotype" w:cs="Times New Roman"/>
          <w:sz w:val="18"/>
          <w:szCs w:val="24"/>
          <w:lang w:val="en-US"/>
        </w:rPr>
        <w:tab/>
        <w:t xml:space="preserve">He, J.Y.; Li, C.; Wu, G. Discovery of potential drugs for human-infecting H7N9 virus containing R294K mutation. </w:t>
      </w:r>
      <w:r w:rsidR="00347A50" w:rsidRPr="00925C57">
        <w:rPr>
          <w:rFonts w:ascii="Palatino Linotype" w:hAnsi="Palatino Linotype" w:cs="Times New Roman"/>
          <w:i/>
          <w:iCs/>
          <w:sz w:val="18"/>
          <w:szCs w:val="24"/>
          <w:lang w:val="en-US"/>
        </w:rPr>
        <w:t>Drug Des. Devel. Ther.</w:t>
      </w:r>
      <w:r w:rsidR="00347A50" w:rsidRPr="00925C57">
        <w:rPr>
          <w:rFonts w:ascii="Palatino Linotype" w:hAnsi="Palatino Linotype" w:cs="Times New Roman"/>
          <w:sz w:val="18"/>
          <w:szCs w:val="24"/>
          <w:lang w:val="en-US"/>
        </w:rPr>
        <w:t xml:space="preserve"> </w:t>
      </w:r>
      <w:r w:rsidR="00347A50" w:rsidRPr="00925C57">
        <w:rPr>
          <w:rFonts w:ascii="Palatino Linotype" w:hAnsi="Palatino Linotype" w:cs="Times New Roman"/>
          <w:b/>
          <w:bCs/>
          <w:sz w:val="18"/>
          <w:szCs w:val="24"/>
          <w:lang w:val="en-US"/>
        </w:rPr>
        <w:t>2014</w:t>
      </w:r>
      <w:r w:rsidR="00347A50" w:rsidRPr="00925C57">
        <w:rPr>
          <w:rFonts w:ascii="Palatino Linotype" w:hAnsi="Palatino Linotype" w:cs="Times New Roman"/>
          <w:sz w:val="18"/>
          <w:szCs w:val="24"/>
          <w:lang w:val="en-US"/>
        </w:rPr>
        <w:t xml:space="preserve">, </w:t>
      </w:r>
      <w:r w:rsidR="00347A50" w:rsidRPr="00925C57">
        <w:rPr>
          <w:rFonts w:ascii="Palatino Linotype" w:hAnsi="Palatino Linotype" w:cs="Times New Roman"/>
          <w:i/>
          <w:iCs/>
          <w:sz w:val="18"/>
          <w:szCs w:val="24"/>
          <w:lang w:val="en-US"/>
        </w:rPr>
        <w:t>8</w:t>
      </w:r>
      <w:r w:rsidR="00347A50" w:rsidRPr="00925C57">
        <w:rPr>
          <w:rFonts w:ascii="Palatino Linotype" w:hAnsi="Palatino Linotype" w:cs="Times New Roman"/>
          <w:sz w:val="18"/>
          <w:szCs w:val="24"/>
          <w:lang w:val="en-US"/>
        </w:rPr>
        <w:t>, 2377–2390, doi:10.2147/DDDT.S74061.</w:t>
      </w:r>
    </w:p>
    <w:p w14:paraId="6C00E430"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2. </w:t>
      </w:r>
      <w:r w:rsidRPr="00925C57">
        <w:rPr>
          <w:rFonts w:ascii="Palatino Linotype" w:hAnsi="Palatino Linotype" w:cs="Times New Roman"/>
          <w:sz w:val="18"/>
          <w:szCs w:val="24"/>
          <w:lang w:val="en-US"/>
        </w:rPr>
        <w:tab/>
        <w:t>Centers for Disease Control and Prevention (CDC) Types of Influenza Viruses Available online: http://www.cdc.gov/flu/about/viruses/types.htm.</w:t>
      </w:r>
    </w:p>
    <w:p w14:paraId="793F087C"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3. </w:t>
      </w:r>
      <w:r w:rsidRPr="00925C57">
        <w:rPr>
          <w:rFonts w:ascii="Palatino Linotype" w:hAnsi="Palatino Linotype" w:cs="Times New Roman"/>
          <w:sz w:val="18"/>
          <w:szCs w:val="24"/>
          <w:lang w:val="en-US"/>
        </w:rPr>
        <w:tab/>
        <w:t xml:space="preserve">Ranst, M. Van; Lemey, P. Genesis of avian-origin H7N9 influenza A viruses. </w:t>
      </w:r>
      <w:r w:rsidRPr="00925C57">
        <w:rPr>
          <w:rFonts w:ascii="Palatino Linotype" w:hAnsi="Palatino Linotype" w:cs="Times New Roman"/>
          <w:i/>
          <w:iCs/>
          <w:sz w:val="18"/>
          <w:szCs w:val="24"/>
          <w:lang w:val="en-US"/>
        </w:rPr>
        <w:t>Lancet</w:t>
      </w:r>
      <w:r w:rsidRPr="00925C57">
        <w:rPr>
          <w:rFonts w:ascii="Palatino Linotype" w:hAnsi="Palatino Linotype" w:cs="Times New Roman"/>
          <w:sz w:val="18"/>
          <w:szCs w:val="24"/>
          <w:lang w:val="en-US"/>
        </w:rPr>
        <w:t xml:space="preserve"> 2013, </w:t>
      </w:r>
      <w:r w:rsidRPr="00925C57">
        <w:rPr>
          <w:rFonts w:ascii="Palatino Linotype" w:hAnsi="Palatino Linotype" w:cs="Times New Roman"/>
          <w:i/>
          <w:iCs/>
          <w:sz w:val="18"/>
          <w:szCs w:val="24"/>
          <w:lang w:val="en-US"/>
        </w:rPr>
        <w:t>381</w:t>
      </w:r>
      <w:r w:rsidRPr="00925C57">
        <w:rPr>
          <w:rFonts w:ascii="Palatino Linotype" w:hAnsi="Palatino Linotype" w:cs="Times New Roman"/>
          <w:sz w:val="18"/>
          <w:szCs w:val="24"/>
          <w:lang w:val="en-US"/>
        </w:rPr>
        <w:t>, 1883–1885.</w:t>
      </w:r>
    </w:p>
    <w:p w14:paraId="0235716A"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lastRenderedPageBreak/>
        <w:t xml:space="preserve">4. </w:t>
      </w:r>
      <w:r w:rsidRPr="00925C57">
        <w:rPr>
          <w:rFonts w:ascii="Palatino Linotype" w:hAnsi="Palatino Linotype" w:cs="Times New Roman"/>
          <w:sz w:val="18"/>
          <w:szCs w:val="24"/>
          <w:lang w:val="en-US"/>
        </w:rPr>
        <w:tab/>
        <w:t xml:space="preserve">Takeda, M.; Leser, G.P.; Russell, C.J.; Lamb, R.A. Influenza virus hemagglutinin concentrates in lipid raft microdomains for efficient viral fusion. </w:t>
      </w:r>
      <w:r w:rsidRPr="00925C57">
        <w:rPr>
          <w:rFonts w:ascii="Palatino Linotype" w:hAnsi="Palatino Linotype" w:cs="Times New Roman"/>
          <w:i/>
          <w:iCs/>
          <w:sz w:val="18"/>
          <w:szCs w:val="24"/>
          <w:lang w:val="en-US"/>
        </w:rPr>
        <w:t>Proc. Natl. Acad. Sci. U. S. A.</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2003</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100</w:t>
      </w:r>
      <w:r w:rsidRPr="00925C57">
        <w:rPr>
          <w:rFonts w:ascii="Palatino Linotype" w:hAnsi="Palatino Linotype" w:cs="Times New Roman"/>
          <w:sz w:val="18"/>
          <w:szCs w:val="24"/>
          <w:lang w:val="en-US"/>
        </w:rPr>
        <w:t>, 14610–14617, doi:10.1073/pnas.2235620100.</w:t>
      </w:r>
    </w:p>
    <w:p w14:paraId="574CA66E"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5. </w:t>
      </w:r>
      <w:r w:rsidRPr="00925C57">
        <w:rPr>
          <w:rFonts w:ascii="Palatino Linotype" w:hAnsi="Palatino Linotype" w:cs="Times New Roman"/>
          <w:sz w:val="18"/>
          <w:szCs w:val="24"/>
          <w:lang w:val="en-US"/>
        </w:rPr>
        <w:tab/>
        <w:t xml:space="preserve">Wang, Y.T.; Chan, C. hsiung; Su, Z.Y.; Chen, C.L. Homology modeling, docking, and molecular dynamics reveal HR1039 as a potent inhibitor of 2009 A(H1N1) influenza neuraminidase. </w:t>
      </w:r>
      <w:r w:rsidRPr="00925C57">
        <w:rPr>
          <w:rFonts w:ascii="Palatino Linotype" w:hAnsi="Palatino Linotype" w:cs="Times New Roman"/>
          <w:i/>
          <w:iCs/>
          <w:sz w:val="18"/>
          <w:szCs w:val="24"/>
          <w:lang w:val="en-US"/>
        </w:rPr>
        <w:t>Biophys. Chem.</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2010</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147</w:t>
      </w:r>
      <w:r w:rsidRPr="00925C57">
        <w:rPr>
          <w:rFonts w:ascii="Palatino Linotype" w:hAnsi="Palatino Linotype" w:cs="Times New Roman"/>
          <w:sz w:val="18"/>
          <w:szCs w:val="24"/>
          <w:lang w:val="en-US"/>
        </w:rPr>
        <w:t>, 74–80, doi:10.1016/j.bpc.2009.12.002.</w:t>
      </w:r>
    </w:p>
    <w:p w14:paraId="3299A946"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6. </w:t>
      </w:r>
      <w:r w:rsidRPr="00925C57">
        <w:rPr>
          <w:rFonts w:ascii="Palatino Linotype" w:hAnsi="Palatino Linotype" w:cs="Times New Roman"/>
          <w:sz w:val="18"/>
          <w:szCs w:val="24"/>
          <w:lang w:val="en-US"/>
        </w:rPr>
        <w:tab/>
        <w:t xml:space="preserve">Moscona, A. Neuraminidase Inhibitors for Influenza. </w:t>
      </w:r>
      <w:r w:rsidRPr="00925C57">
        <w:rPr>
          <w:rFonts w:ascii="Palatino Linotype" w:hAnsi="Palatino Linotype" w:cs="Times New Roman"/>
          <w:i/>
          <w:iCs/>
          <w:sz w:val="18"/>
          <w:szCs w:val="24"/>
          <w:lang w:val="en-US"/>
        </w:rPr>
        <w:t>N. Engl. J. Med.</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2005</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353</w:t>
      </w:r>
      <w:r w:rsidRPr="00925C57">
        <w:rPr>
          <w:rFonts w:ascii="Palatino Linotype" w:hAnsi="Palatino Linotype" w:cs="Times New Roman"/>
          <w:sz w:val="18"/>
          <w:szCs w:val="24"/>
          <w:lang w:val="en-US"/>
        </w:rPr>
        <w:t>, 1363–1373, doi:10.1056/nejmra050740.</w:t>
      </w:r>
    </w:p>
    <w:p w14:paraId="4BFFAEB5"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7. </w:t>
      </w:r>
      <w:r w:rsidRPr="00925C57">
        <w:rPr>
          <w:rFonts w:ascii="Palatino Linotype" w:hAnsi="Palatino Linotype" w:cs="Times New Roman"/>
          <w:sz w:val="18"/>
          <w:szCs w:val="24"/>
          <w:lang w:val="en-US"/>
        </w:rPr>
        <w:tab/>
        <w:t xml:space="preserve">Furuta, Y.; Gowen, B.B.; Takahashi, K.; Shiraki, K.; Smee, D.F.; Barnard, D.L. Favipiravir (T-705), a novel viral RNA polymerase inhibitor. </w:t>
      </w:r>
      <w:r w:rsidRPr="00925C57">
        <w:rPr>
          <w:rFonts w:ascii="Palatino Linotype" w:hAnsi="Palatino Linotype" w:cs="Times New Roman"/>
          <w:i/>
          <w:iCs/>
          <w:sz w:val="18"/>
          <w:szCs w:val="24"/>
          <w:lang w:val="en-US"/>
        </w:rPr>
        <w:t>Antiviral Res.</w:t>
      </w:r>
      <w:r w:rsidRPr="00925C57">
        <w:rPr>
          <w:rFonts w:ascii="Palatino Linotype" w:hAnsi="Palatino Linotype" w:cs="Times New Roman"/>
          <w:sz w:val="18"/>
          <w:szCs w:val="24"/>
          <w:lang w:val="en-US"/>
        </w:rPr>
        <w:t xml:space="preserve"> 2013, </w:t>
      </w:r>
      <w:r w:rsidRPr="00925C57">
        <w:rPr>
          <w:rFonts w:ascii="Palatino Linotype" w:hAnsi="Palatino Linotype" w:cs="Times New Roman"/>
          <w:i/>
          <w:iCs/>
          <w:sz w:val="18"/>
          <w:szCs w:val="24"/>
          <w:lang w:val="en-US"/>
        </w:rPr>
        <w:t>100</w:t>
      </w:r>
      <w:r w:rsidRPr="00925C57">
        <w:rPr>
          <w:rFonts w:ascii="Palatino Linotype" w:hAnsi="Palatino Linotype" w:cs="Times New Roman"/>
          <w:sz w:val="18"/>
          <w:szCs w:val="24"/>
          <w:lang w:val="en-US"/>
        </w:rPr>
        <w:t>, 446–454.</w:t>
      </w:r>
    </w:p>
    <w:p w14:paraId="2ADE2C26"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8. </w:t>
      </w:r>
      <w:r w:rsidRPr="00925C57">
        <w:rPr>
          <w:rFonts w:ascii="Palatino Linotype" w:hAnsi="Palatino Linotype" w:cs="Times New Roman"/>
          <w:sz w:val="18"/>
          <w:szCs w:val="24"/>
          <w:lang w:val="en-US"/>
        </w:rPr>
        <w:tab/>
        <w:t xml:space="preserve">Bi, Y.; Wong, G.; Liu, Y.; Liu, L.; Gao, G.F.; Shi, Y. Ribavirin is effective against drug-resistant H7N9 influenza virus infections. </w:t>
      </w:r>
      <w:r w:rsidRPr="00925C57">
        <w:rPr>
          <w:rFonts w:ascii="Palatino Linotype" w:hAnsi="Palatino Linotype" w:cs="Times New Roman"/>
          <w:i/>
          <w:iCs/>
          <w:sz w:val="18"/>
          <w:szCs w:val="24"/>
          <w:lang w:val="en-US"/>
        </w:rPr>
        <w:t>Protein Cell</w:t>
      </w:r>
      <w:r w:rsidRPr="00925C57">
        <w:rPr>
          <w:rFonts w:ascii="Palatino Linotype" w:hAnsi="Palatino Linotype" w:cs="Times New Roman"/>
          <w:sz w:val="18"/>
          <w:szCs w:val="24"/>
          <w:lang w:val="en-US"/>
        </w:rPr>
        <w:t xml:space="preserve"> 2016, </w:t>
      </w:r>
      <w:r w:rsidRPr="00925C57">
        <w:rPr>
          <w:rFonts w:ascii="Palatino Linotype" w:hAnsi="Palatino Linotype" w:cs="Times New Roman"/>
          <w:i/>
          <w:iCs/>
          <w:sz w:val="18"/>
          <w:szCs w:val="24"/>
          <w:lang w:val="en-US"/>
        </w:rPr>
        <w:t>7</w:t>
      </w:r>
      <w:r w:rsidRPr="00925C57">
        <w:rPr>
          <w:rFonts w:ascii="Palatino Linotype" w:hAnsi="Palatino Linotype" w:cs="Times New Roman"/>
          <w:sz w:val="18"/>
          <w:szCs w:val="24"/>
          <w:lang w:val="en-US"/>
        </w:rPr>
        <w:t>, 611–614.</w:t>
      </w:r>
    </w:p>
    <w:p w14:paraId="285071D7"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9. </w:t>
      </w:r>
      <w:r w:rsidRPr="00925C57">
        <w:rPr>
          <w:rFonts w:ascii="Palatino Linotype" w:hAnsi="Palatino Linotype" w:cs="Times New Roman"/>
          <w:sz w:val="18"/>
          <w:szCs w:val="24"/>
          <w:lang w:val="en-US"/>
        </w:rPr>
        <w:tab/>
        <w:t xml:space="preserve">Liu, Q.; Ma, J.; Strayer, D.R.; Mitchell, W.M.; Carter, W.A.; Ma, W.; Richt, J.A. Emergence of a novel drug resistant H7N9 influenza virus: Evidence based clinical potential of a natural IFN-α for infection control and treatment. </w:t>
      </w:r>
      <w:r w:rsidRPr="00925C57">
        <w:rPr>
          <w:rFonts w:ascii="Palatino Linotype" w:hAnsi="Palatino Linotype" w:cs="Times New Roman"/>
          <w:i/>
          <w:iCs/>
          <w:sz w:val="18"/>
          <w:szCs w:val="24"/>
          <w:lang w:val="en-US"/>
        </w:rPr>
        <w:t>Expert Rev. Anti. Infect. Ther.</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2014</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12</w:t>
      </w:r>
      <w:r w:rsidRPr="00925C57">
        <w:rPr>
          <w:rFonts w:ascii="Palatino Linotype" w:hAnsi="Palatino Linotype" w:cs="Times New Roman"/>
          <w:sz w:val="18"/>
          <w:szCs w:val="24"/>
          <w:lang w:val="en-US"/>
        </w:rPr>
        <w:t>, 165–169, doi:10.1586/14787210.2014.870885.</w:t>
      </w:r>
    </w:p>
    <w:p w14:paraId="312C1C40"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10. </w:t>
      </w:r>
      <w:r w:rsidRPr="00925C57">
        <w:rPr>
          <w:rFonts w:ascii="Palatino Linotype" w:hAnsi="Palatino Linotype" w:cs="Times New Roman"/>
          <w:sz w:val="18"/>
          <w:szCs w:val="24"/>
          <w:lang w:val="en-US"/>
        </w:rPr>
        <w:tab/>
        <w:t xml:space="preserve">Moscona, A. Medical management of influenza infection. </w:t>
      </w:r>
      <w:r w:rsidRPr="00925C57">
        <w:rPr>
          <w:rFonts w:ascii="Palatino Linotype" w:hAnsi="Palatino Linotype" w:cs="Times New Roman"/>
          <w:i/>
          <w:iCs/>
          <w:sz w:val="18"/>
          <w:szCs w:val="24"/>
          <w:lang w:val="en-US"/>
        </w:rPr>
        <w:t>Annu. Rev. Med.</w:t>
      </w:r>
      <w:r w:rsidRPr="00925C57">
        <w:rPr>
          <w:rFonts w:ascii="Palatino Linotype" w:hAnsi="Palatino Linotype" w:cs="Times New Roman"/>
          <w:sz w:val="18"/>
          <w:szCs w:val="24"/>
          <w:lang w:val="en-US"/>
        </w:rPr>
        <w:t xml:space="preserve"> 2008, </w:t>
      </w:r>
      <w:r w:rsidRPr="00925C57">
        <w:rPr>
          <w:rFonts w:ascii="Palatino Linotype" w:hAnsi="Palatino Linotype" w:cs="Times New Roman"/>
          <w:i/>
          <w:iCs/>
          <w:sz w:val="18"/>
          <w:szCs w:val="24"/>
          <w:lang w:val="en-US"/>
        </w:rPr>
        <w:t>59</w:t>
      </w:r>
      <w:r w:rsidRPr="00925C57">
        <w:rPr>
          <w:rFonts w:ascii="Palatino Linotype" w:hAnsi="Palatino Linotype" w:cs="Times New Roman"/>
          <w:sz w:val="18"/>
          <w:szCs w:val="24"/>
          <w:lang w:val="en-US"/>
        </w:rPr>
        <w:t>, 397–413.</w:t>
      </w:r>
    </w:p>
    <w:p w14:paraId="0444803F"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11. </w:t>
      </w:r>
      <w:r w:rsidRPr="00925C57">
        <w:rPr>
          <w:rFonts w:ascii="Palatino Linotype" w:hAnsi="Palatino Linotype" w:cs="Times New Roman"/>
          <w:sz w:val="18"/>
          <w:szCs w:val="24"/>
          <w:lang w:val="en-US"/>
        </w:rPr>
        <w:tab/>
        <w:t xml:space="preserve">Ison, M.G. Clinical use of approved influenza antivirals: Therapy and prophylaxis. </w:t>
      </w:r>
      <w:r w:rsidRPr="00925C57">
        <w:rPr>
          <w:rFonts w:ascii="Palatino Linotype" w:hAnsi="Palatino Linotype" w:cs="Times New Roman"/>
          <w:i/>
          <w:iCs/>
          <w:sz w:val="18"/>
          <w:szCs w:val="24"/>
          <w:lang w:val="en-US"/>
        </w:rPr>
        <w:t>Influenza Other Respi. Viruses</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2013</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7</w:t>
      </w:r>
      <w:r w:rsidRPr="00925C57">
        <w:rPr>
          <w:rFonts w:ascii="Palatino Linotype" w:hAnsi="Palatino Linotype" w:cs="Times New Roman"/>
          <w:sz w:val="18"/>
          <w:szCs w:val="24"/>
          <w:lang w:val="en-US"/>
        </w:rPr>
        <w:t>, 7–13, doi:10.1111/irv.12046.</w:t>
      </w:r>
    </w:p>
    <w:p w14:paraId="52F89ED1"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12. </w:t>
      </w:r>
      <w:r w:rsidRPr="00925C57">
        <w:rPr>
          <w:rFonts w:ascii="Palatino Linotype" w:hAnsi="Palatino Linotype" w:cs="Times New Roman"/>
          <w:sz w:val="18"/>
          <w:szCs w:val="24"/>
          <w:lang w:val="en-US"/>
        </w:rPr>
        <w:tab/>
        <w:t xml:space="preserve">Wu, Y.; Bi, Y.; Vavricka, C.J.; Sun, X.; Zhang, Y.; Gao, F.; Zhao, M.; Xiao, H.; Qin, C.; He, J.; et al. Characterization of two distinct neuraminidases from avian-origin human-infecting H7N9 influenza viruses. </w:t>
      </w:r>
      <w:r w:rsidRPr="00925C57">
        <w:rPr>
          <w:rFonts w:ascii="Palatino Linotype" w:hAnsi="Palatino Linotype" w:cs="Times New Roman"/>
          <w:i/>
          <w:iCs/>
          <w:sz w:val="18"/>
          <w:szCs w:val="24"/>
          <w:lang w:val="en-US"/>
        </w:rPr>
        <w:t>Cell Res.</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2013</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23</w:t>
      </w:r>
      <w:r w:rsidRPr="00925C57">
        <w:rPr>
          <w:rFonts w:ascii="Palatino Linotype" w:hAnsi="Palatino Linotype" w:cs="Times New Roman"/>
          <w:sz w:val="18"/>
          <w:szCs w:val="24"/>
          <w:lang w:val="en-US"/>
        </w:rPr>
        <w:t>, 1347–1355, doi:10.1038/cr.2013.144.</w:t>
      </w:r>
    </w:p>
    <w:p w14:paraId="26F19F07"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13. </w:t>
      </w:r>
      <w:r w:rsidRPr="00925C57">
        <w:rPr>
          <w:rFonts w:ascii="Palatino Linotype" w:hAnsi="Palatino Linotype" w:cs="Times New Roman"/>
          <w:sz w:val="18"/>
          <w:szCs w:val="24"/>
          <w:lang w:val="en-US"/>
        </w:rPr>
        <w:tab/>
        <w:t xml:space="preserve">Liu, Z.; Zhao, J.; Li, W.; Wang, X.; Xu, J.; Xie, J.; Tao, K.; Shen, L.; Zhang, R. Molecular docking of potential inhibitors for influenza H7N9. </w:t>
      </w:r>
      <w:r w:rsidRPr="00925C57">
        <w:rPr>
          <w:rFonts w:ascii="Palatino Linotype" w:hAnsi="Palatino Linotype" w:cs="Times New Roman"/>
          <w:i/>
          <w:iCs/>
          <w:sz w:val="18"/>
          <w:szCs w:val="24"/>
          <w:lang w:val="en-US"/>
        </w:rPr>
        <w:t>Comput. Math. Methods Med.</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2015</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2015</w:t>
      </w:r>
      <w:r w:rsidRPr="00925C57">
        <w:rPr>
          <w:rFonts w:ascii="Palatino Linotype" w:hAnsi="Palatino Linotype" w:cs="Times New Roman"/>
          <w:sz w:val="18"/>
          <w:szCs w:val="24"/>
          <w:lang w:val="en-US"/>
        </w:rPr>
        <w:t>, doi:10.1155/2015/480764.</w:t>
      </w:r>
    </w:p>
    <w:p w14:paraId="1E6EA6FD"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14. </w:t>
      </w:r>
      <w:r w:rsidRPr="00925C57">
        <w:rPr>
          <w:rFonts w:ascii="Palatino Linotype" w:hAnsi="Palatino Linotype" w:cs="Times New Roman"/>
          <w:sz w:val="18"/>
          <w:szCs w:val="24"/>
          <w:lang w:val="en-US"/>
        </w:rPr>
        <w:tab/>
        <w:t xml:space="preserve">Henikoff, S.; Henikoff, J.G. Amino acid substitution matrices from protein blocks. </w:t>
      </w:r>
      <w:r w:rsidRPr="00925C57">
        <w:rPr>
          <w:rFonts w:ascii="Palatino Linotype" w:hAnsi="Palatino Linotype" w:cs="Times New Roman"/>
          <w:i/>
          <w:iCs/>
          <w:sz w:val="18"/>
          <w:szCs w:val="24"/>
          <w:lang w:val="en-US"/>
        </w:rPr>
        <w:t>Proc. Natl. Acad. Sci. U. S. A.</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1992</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89</w:t>
      </w:r>
      <w:r w:rsidRPr="00925C57">
        <w:rPr>
          <w:rFonts w:ascii="Palatino Linotype" w:hAnsi="Palatino Linotype" w:cs="Times New Roman"/>
          <w:sz w:val="18"/>
          <w:szCs w:val="24"/>
          <w:lang w:val="en-US"/>
        </w:rPr>
        <w:t>, 10915–10919, doi:10.1073/pnas.89.22.10915.</w:t>
      </w:r>
    </w:p>
    <w:p w14:paraId="1608EA6A"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15. </w:t>
      </w:r>
      <w:r w:rsidRPr="00925C57">
        <w:rPr>
          <w:rFonts w:ascii="Palatino Linotype" w:hAnsi="Palatino Linotype" w:cs="Times New Roman"/>
          <w:sz w:val="18"/>
          <w:szCs w:val="24"/>
          <w:lang w:val="en-US"/>
        </w:rPr>
        <w:tab/>
        <w:t xml:space="preserve">Pires, D.E.V.; Blundell, T.L.; Ascher, D.B. pkCSM: Predicting small-molecule pharmacokinetic and toxicity properties using graph-based signatures. </w:t>
      </w:r>
      <w:r w:rsidRPr="00925C57">
        <w:rPr>
          <w:rFonts w:ascii="Palatino Linotype" w:hAnsi="Palatino Linotype" w:cs="Times New Roman"/>
          <w:i/>
          <w:iCs/>
          <w:sz w:val="18"/>
          <w:szCs w:val="24"/>
          <w:lang w:val="en-US"/>
        </w:rPr>
        <w:t>J. Med. Chem.</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2015</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58</w:t>
      </w:r>
      <w:r w:rsidRPr="00925C57">
        <w:rPr>
          <w:rFonts w:ascii="Palatino Linotype" w:hAnsi="Palatino Linotype" w:cs="Times New Roman"/>
          <w:sz w:val="18"/>
          <w:szCs w:val="24"/>
          <w:lang w:val="en-US"/>
        </w:rPr>
        <w:t>, 4066–4072, doi:10.1021/acs.jmedchem.5b00104.</w:t>
      </w:r>
    </w:p>
    <w:p w14:paraId="6F15A851"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16. </w:t>
      </w:r>
      <w:r w:rsidRPr="00925C57">
        <w:rPr>
          <w:rFonts w:ascii="Palatino Linotype" w:hAnsi="Palatino Linotype" w:cs="Times New Roman"/>
          <w:sz w:val="18"/>
          <w:szCs w:val="24"/>
          <w:lang w:val="en-US"/>
        </w:rPr>
        <w:tab/>
        <w:t xml:space="preserve">Lombardo, T.; Chiapponi, C.; Baioni, L.; Cinotti, S.; Ferrari, M. Protein mutations following adaptation of avian influenza viruses in different biological systems. </w:t>
      </w:r>
      <w:r w:rsidRPr="00925C57">
        <w:rPr>
          <w:rFonts w:ascii="Palatino Linotype" w:hAnsi="Palatino Linotype" w:cs="Times New Roman"/>
          <w:i/>
          <w:iCs/>
          <w:sz w:val="18"/>
          <w:szCs w:val="24"/>
          <w:lang w:val="en-US"/>
        </w:rPr>
        <w:t>Res. Vet. Sci.</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2015</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103</w:t>
      </w:r>
      <w:r w:rsidRPr="00925C57">
        <w:rPr>
          <w:rFonts w:ascii="Palatino Linotype" w:hAnsi="Palatino Linotype" w:cs="Times New Roman"/>
          <w:sz w:val="18"/>
          <w:szCs w:val="24"/>
          <w:lang w:val="en-US"/>
        </w:rPr>
        <w:t>, 176–178, doi:10.1016/j.rvsc.2015.10.007.</w:t>
      </w:r>
    </w:p>
    <w:p w14:paraId="2CE71407"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17. </w:t>
      </w:r>
      <w:r w:rsidRPr="00925C57">
        <w:rPr>
          <w:rFonts w:ascii="Palatino Linotype" w:hAnsi="Palatino Linotype" w:cs="Times New Roman"/>
          <w:sz w:val="18"/>
          <w:szCs w:val="24"/>
          <w:lang w:val="en-US"/>
        </w:rPr>
        <w:tab/>
        <w:t xml:space="preserve">Trivedi, R.; Nagarajaram, H.A. Amino acid substitution scoring matrices specific to intrinsically disordered regions in proteins. </w:t>
      </w:r>
      <w:r w:rsidRPr="00925C57">
        <w:rPr>
          <w:rFonts w:ascii="Palatino Linotype" w:hAnsi="Palatino Linotype" w:cs="Times New Roman"/>
          <w:i/>
          <w:iCs/>
          <w:sz w:val="18"/>
          <w:szCs w:val="24"/>
          <w:lang w:val="en-US"/>
        </w:rPr>
        <w:t>Sci. Rep.</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2019</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9</w:t>
      </w:r>
      <w:r w:rsidRPr="00925C57">
        <w:rPr>
          <w:rFonts w:ascii="Palatino Linotype" w:hAnsi="Palatino Linotype" w:cs="Times New Roman"/>
          <w:sz w:val="18"/>
          <w:szCs w:val="24"/>
          <w:lang w:val="en-US"/>
        </w:rPr>
        <w:t>, doi:10.1038/s41598-019-52532-8.</w:t>
      </w:r>
    </w:p>
    <w:p w14:paraId="37F819E6"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18. </w:t>
      </w:r>
      <w:r w:rsidRPr="00925C57">
        <w:rPr>
          <w:rFonts w:ascii="Palatino Linotype" w:hAnsi="Palatino Linotype" w:cs="Times New Roman"/>
          <w:sz w:val="18"/>
          <w:szCs w:val="24"/>
          <w:lang w:val="en-US"/>
        </w:rPr>
        <w:tab/>
        <w:t xml:space="preserve">Yen, H.-L.; Hoffmann, E.; Taylor, G.; Scholtissek, C.; Monto, A.S.; Webster, R.G.; Govorkova, E.A. Importance of Neuraminidase Active-Site Residues to the Neuraminidase Inhibitor Resistance of Influenza Viruses. </w:t>
      </w:r>
      <w:r w:rsidRPr="00925C57">
        <w:rPr>
          <w:rFonts w:ascii="Palatino Linotype" w:hAnsi="Palatino Linotype" w:cs="Times New Roman"/>
          <w:i/>
          <w:iCs/>
          <w:sz w:val="18"/>
          <w:szCs w:val="24"/>
          <w:lang w:val="en-US"/>
        </w:rPr>
        <w:t>J. Virol.</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2006</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80</w:t>
      </w:r>
      <w:r w:rsidRPr="00925C57">
        <w:rPr>
          <w:rFonts w:ascii="Palatino Linotype" w:hAnsi="Palatino Linotype" w:cs="Times New Roman"/>
          <w:sz w:val="18"/>
          <w:szCs w:val="24"/>
          <w:lang w:val="en-US"/>
        </w:rPr>
        <w:t>, 8787–8795, doi:10.1128/jvi.00477-06.</w:t>
      </w:r>
    </w:p>
    <w:p w14:paraId="44065FBA"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19. </w:t>
      </w:r>
      <w:r w:rsidRPr="00925C57">
        <w:rPr>
          <w:rFonts w:ascii="Palatino Linotype" w:hAnsi="Palatino Linotype" w:cs="Times New Roman"/>
          <w:sz w:val="18"/>
          <w:szCs w:val="24"/>
          <w:lang w:val="en-US"/>
        </w:rPr>
        <w:tab/>
        <w:t xml:space="preserve">Bardsley-Elliot, A.; Noble, S. Oseltamivir. </w:t>
      </w:r>
      <w:r w:rsidRPr="00925C57">
        <w:rPr>
          <w:rFonts w:ascii="Palatino Linotype" w:hAnsi="Palatino Linotype" w:cs="Times New Roman"/>
          <w:i/>
          <w:iCs/>
          <w:sz w:val="18"/>
          <w:szCs w:val="24"/>
          <w:lang w:val="en-US"/>
        </w:rPr>
        <w:t>Drugs</w:t>
      </w:r>
      <w:r w:rsidRPr="00925C57">
        <w:rPr>
          <w:rFonts w:ascii="Palatino Linotype" w:hAnsi="Palatino Linotype" w:cs="Times New Roman"/>
          <w:sz w:val="18"/>
          <w:szCs w:val="24"/>
          <w:lang w:val="en-US"/>
        </w:rPr>
        <w:t xml:space="preserve"> 1999, </w:t>
      </w:r>
      <w:r w:rsidRPr="00925C57">
        <w:rPr>
          <w:rFonts w:ascii="Palatino Linotype" w:hAnsi="Palatino Linotype" w:cs="Times New Roman"/>
          <w:i/>
          <w:iCs/>
          <w:sz w:val="18"/>
          <w:szCs w:val="24"/>
          <w:lang w:val="en-US"/>
        </w:rPr>
        <w:t>58</w:t>
      </w:r>
      <w:r w:rsidRPr="00925C57">
        <w:rPr>
          <w:rFonts w:ascii="Palatino Linotype" w:hAnsi="Palatino Linotype" w:cs="Times New Roman"/>
          <w:sz w:val="18"/>
          <w:szCs w:val="24"/>
          <w:lang w:val="en-US"/>
        </w:rPr>
        <w:t>, 851–860.</w:t>
      </w:r>
    </w:p>
    <w:p w14:paraId="43932DE0"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20. </w:t>
      </w:r>
      <w:r w:rsidRPr="00925C57">
        <w:rPr>
          <w:rFonts w:ascii="Palatino Linotype" w:hAnsi="Palatino Linotype" w:cs="Times New Roman"/>
          <w:sz w:val="18"/>
          <w:szCs w:val="24"/>
          <w:lang w:val="en-US"/>
        </w:rPr>
        <w:tab/>
        <w:t xml:space="preserve">Mendel, D.B.; Tai, C.Y.; Escarpe, P.A.; Li, W.; Sidwell, R.W.; Huffman, J.H.; Sweet, C.; Jakeman, K.J.; Merson, J.; Lacy, S.A.; et al. Oral administration of a prodrug of the influenza virus neuraminidase inhibitor GS 4071 protects mice and ferrets against influenza infection. </w:t>
      </w:r>
      <w:r w:rsidRPr="00925C57">
        <w:rPr>
          <w:rFonts w:ascii="Palatino Linotype" w:hAnsi="Palatino Linotype" w:cs="Times New Roman"/>
          <w:i/>
          <w:iCs/>
          <w:sz w:val="18"/>
          <w:szCs w:val="24"/>
          <w:lang w:val="en-US"/>
        </w:rPr>
        <w:t>Antimicrob. Agents Chemother.</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1998</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42</w:t>
      </w:r>
      <w:r w:rsidRPr="00925C57">
        <w:rPr>
          <w:rFonts w:ascii="Palatino Linotype" w:hAnsi="Palatino Linotype" w:cs="Times New Roman"/>
          <w:sz w:val="18"/>
          <w:szCs w:val="24"/>
          <w:lang w:val="en-US"/>
        </w:rPr>
        <w:t>, 640–646, doi:10.1128/aac.42.3.640.</w:t>
      </w:r>
    </w:p>
    <w:p w14:paraId="0053B2E9"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21. </w:t>
      </w:r>
      <w:r w:rsidRPr="00925C57">
        <w:rPr>
          <w:rFonts w:ascii="Palatino Linotype" w:hAnsi="Palatino Linotype" w:cs="Times New Roman"/>
          <w:sz w:val="18"/>
          <w:szCs w:val="24"/>
          <w:lang w:val="en-US"/>
        </w:rPr>
        <w:tab/>
        <w:t xml:space="preserve">Sidwell, R.W.; Huffman, J.H.; Barnard, D.L.; Bailey, K.W.; Wong, M.H.; Morrison, A.; Syndergaard, T.; Kim, C.U. Inhibition of influenza virus infections in mice by GS4104, an orally effective influenza virus neuraminidase inhibitor. </w:t>
      </w:r>
      <w:r w:rsidRPr="00925C57">
        <w:rPr>
          <w:rFonts w:ascii="Palatino Linotype" w:hAnsi="Palatino Linotype" w:cs="Times New Roman"/>
          <w:i/>
          <w:iCs/>
          <w:sz w:val="18"/>
          <w:szCs w:val="24"/>
          <w:lang w:val="en-US"/>
        </w:rPr>
        <w:t>Antiviral Res.</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1998</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37</w:t>
      </w:r>
      <w:r w:rsidRPr="00925C57">
        <w:rPr>
          <w:rFonts w:ascii="Palatino Linotype" w:hAnsi="Palatino Linotype" w:cs="Times New Roman"/>
          <w:sz w:val="18"/>
          <w:szCs w:val="24"/>
          <w:lang w:val="en-US"/>
        </w:rPr>
        <w:t>, 107–120, doi:10.1016/S0166-3542(97)00065-X.</w:t>
      </w:r>
    </w:p>
    <w:p w14:paraId="26034187"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22. </w:t>
      </w:r>
      <w:r w:rsidRPr="00925C57">
        <w:rPr>
          <w:rFonts w:ascii="Palatino Linotype" w:hAnsi="Palatino Linotype" w:cs="Times New Roman"/>
          <w:sz w:val="18"/>
          <w:szCs w:val="24"/>
          <w:lang w:val="en-US"/>
        </w:rPr>
        <w:tab/>
        <w:t xml:space="preserve">Cass, L.M.R.; Efthymiopoulos, C.; Bye, A. Pharmacokinetics of zanamivir after intravenous, oral, inhaled or intranasal administration to healthy volunteers. </w:t>
      </w:r>
      <w:r w:rsidRPr="00925C57">
        <w:rPr>
          <w:rFonts w:ascii="Palatino Linotype" w:hAnsi="Palatino Linotype" w:cs="Times New Roman"/>
          <w:i/>
          <w:iCs/>
          <w:sz w:val="18"/>
          <w:szCs w:val="24"/>
          <w:lang w:val="en-US"/>
        </w:rPr>
        <w:t>Clin. Pharmacokinet.</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1999</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36</w:t>
      </w:r>
      <w:r w:rsidRPr="00925C57">
        <w:rPr>
          <w:rFonts w:ascii="Palatino Linotype" w:hAnsi="Palatino Linotype" w:cs="Times New Roman"/>
          <w:sz w:val="18"/>
          <w:szCs w:val="24"/>
          <w:lang w:val="en-US"/>
        </w:rPr>
        <w:t>, 1–11, doi:10.2165/00003088-199936001-00001.</w:t>
      </w:r>
    </w:p>
    <w:p w14:paraId="65F5AA50"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23. </w:t>
      </w:r>
      <w:r w:rsidRPr="00925C57">
        <w:rPr>
          <w:rFonts w:ascii="Palatino Linotype" w:hAnsi="Palatino Linotype" w:cs="Times New Roman"/>
          <w:sz w:val="18"/>
          <w:szCs w:val="24"/>
          <w:lang w:val="en-US"/>
        </w:rPr>
        <w:tab/>
        <w:t xml:space="preserve">Hata, A.; Akashi-Ueda, R.; Takamatsu, K.; Matsumura, T. Safety and efficacy of peramivir for influenza treatment. </w:t>
      </w:r>
      <w:r w:rsidRPr="00925C57">
        <w:rPr>
          <w:rFonts w:ascii="Palatino Linotype" w:hAnsi="Palatino Linotype" w:cs="Times New Roman"/>
          <w:i/>
          <w:iCs/>
          <w:sz w:val="18"/>
          <w:szCs w:val="24"/>
          <w:lang w:val="en-US"/>
        </w:rPr>
        <w:t>Drug Des. Devel. Ther.</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2014</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8</w:t>
      </w:r>
      <w:r w:rsidRPr="00925C57">
        <w:rPr>
          <w:rFonts w:ascii="Palatino Linotype" w:hAnsi="Palatino Linotype" w:cs="Times New Roman"/>
          <w:sz w:val="18"/>
          <w:szCs w:val="24"/>
          <w:lang w:val="en-US"/>
        </w:rPr>
        <w:t>, 2017–2038, doi:10.2147/DDDT.S46654.</w:t>
      </w:r>
    </w:p>
    <w:p w14:paraId="1C93B839"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24. </w:t>
      </w:r>
      <w:r w:rsidRPr="00925C57">
        <w:rPr>
          <w:rFonts w:ascii="Palatino Linotype" w:hAnsi="Palatino Linotype" w:cs="Times New Roman"/>
          <w:sz w:val="18"/>
          <w:szCs w:val="24"/>
          <w:lang w:val="en-US"/>
        </w:rPr>
        <w:tab/>
        <w:t xml:space="preserve">Kashiwagi, S.; Watanabe, A.; Ikematsu, H.; Uemori, M.; Awamura, S.; Ishida, K.; Nishioka, S.; Isobe, K.; Sumitani, T.; Yamaguchi, T.; et al. Long-acting Neuraminidase Inhibitor Laninamivir Octanoate as Post-exposure Prophylaxis for Influenza. </w:t>
      </w:r>
      <w:r w:rsidRPr="00925C57">
        <w:rPr>
          <w:rFonts w:ascii="Palatino Linotype" w:hAnsi="Palatino Linotype" w:cs="Times New Roman"/>
          <w:i/>
          <w:iCs/>
          <w:sz w:val="18"/>
          <w:szCs w:val="24"/>
          <w:lang w:val="en-US"/>
        </w:rPr>
        <w:t>Clin. Infect. Dis.</w:t>
      </w:r>
      <w:r w:rsidRPr="00925C57">
        <w:rPr>
          <w:rFonts w:ascii="Palatino Linotype" w:hAnsi="Palatino Linotype" w:cs="Times New Roman"/>
          <w:sz w:val="18"/>
          <w:szCs w:val="24"/>
          <w:lang w:val="en-US"/>
        </w:rPr>
        <w:t xml:space="preserve"> 2016, </w:t>
      </w:r>
      <w:r w:rsidRPr="00925C57">
        <w:rPr>
          <w:rFonts w:ascii="Palatino Linotype" w:hAnsi="Palatino Linotype" w:cs="Times New Roman"/>
          <w:i/>
          <w:iCs/>
          <w:sz w:val="18"/>
          <w:szCs w:val="24"/>
          <w:lang w:val="en-US"/>
        </w:rPr>
        <w:t>63</w:t>
      </w:r>
      <w:r w:rsidRPr="00925C57">
        <w:rPr>
          <w:rFonts w:ascii="Palatino Linotype" w:hAnsi="Palatino Linotype" w:cs="Times New Roman"/>
          <w:sz w:val="18"/>
          <w:szCs w:val="24"/>
          <w:lang w:val="en-US"/>
        </w:rPr>
        <w:t>, 330–337.</w:t>
      </w:r>
    </w:p>
    <w:p w14:paraId="6A0F3188"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25. </w:t>
      </w:r>
      <w:r w:rsidRPr="00925C57">
        <w:rPr>
          <w:rFonts w:ascii="Palatino Linotype" w:hAnsi="Palatino Linotype" w:cs="Times New Roman"/>
          <w:sz w:val="18"/>
          <w:szCs w:val="24"/>
          <w:lang w:val="en-US"/>
        </w:rPr>
        <w:tab/>
        <w:t xml:space="preserve">Li, T.C.M.; Chan, M.C.W.; Lee, N. Clinical implications of antiviral resistance in influenza. </w:t>
      </w:r>
      <w:r w:rsidRPr="00925C57">
        <w:rPr>
          <w:rFonts w:ascii="Palatino Linotype" w:hAnsi="Palatino Linotype" w:cs="Times New Roman"/>
          <w:i/>
          <w:iCs/>
          <w:sz w:val="18"/>
          <w:szCs w:val="24"/>
          <w:lang w:val="en-US"/>
        </w:rPr>
        <w:t>Viruses</w:t>
      </w:r>
      <w:r w:rsidRPr="00925C57">
        <w:rPr>
          <w:rFonts w:ascii="Palatino Linotype" w:hAnsi="Palatino Linotype" w:cs="Times New Roman"/>
          <w:sz w:val="18"/>
          <w:szCs w:val="24"/>
          <w:lang w:val="en-US"/>
        </w:rPr>
        <w:t xml:space="preserve"> 2015, </w:t>
      </w:r>
      <w:r w:rsidRPr="00925C57">
        <w:rPr>
          <w:rFonts w:ascii="Palatino Linotype" w:hAnsi="Palatino Linotype" w:cs="Times New Roman"/>
          <w:i/>
          <w:iCs/>
          <w:sz w:val="18"/>
          <w:szCs w:val="24"/>
          <w:lang w:val="en-US"/>
        </w:rPr>
        <w:t>7</w:t>
      </w:r>
      <w:r w:rsidRPr="00925C57">
        <w:rPr>
          <w:rFonts w:ascii="Palatino Linotype" w:hAnsi="Palatino Linotype" w:cs="Times New Roman"/>
          <w:sz w:val="18"/>
          <w:szCs w:val="24"/>
          <w:lang w:val="en-US"/>
        </w:rPr>
        <w:t>, 4929–4944.</w:t>
      </w:r>
    </w:p>
    <w:p w14:paraId="63EC0B8A"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26. </w:t>
      </w:r>
      <w:r w:rsidRPr="00925C57">
        <w:rPr>
          <w:rFonts w:ascii="Palatino Linotype" w:hAnsi="Palatino Linotype" w:cs="Times New Roman"/>
          <w:sz w:val="18"/>
          <w:szCs w:val="24"/>
          <w:lang w:val="en-US"/>
        </w:rPr>
        <w:tab/>
        <w:t xml:space="preserve">Takemoto, Y.; Asai, T.; Ikezoe, I.; Yano, T.; Ichikawa, M.; Miyagawa, S.; Matsumoto, J. Clinical effects of oseltamivir, zanamivir, laninamivir and peramivir on seasonal influenza infection in outpatients in Japan during the winter of 2012-2013. </w:t>
      </w:r>
      <w:r w:rsidRPr="00925C57">
        <w:rPr>
          <w:rFonts w:ascii="Palatino Linotype" w:hAnsi="Palatino Linotype" w:cs="Times New Roman"/>
          <w:i/>
          <w:iCs/>
          <w:sz w:val="18"/>
          <w:szCs w:val="24"/>
          <w:lang w:val="en-US"/>
        </w:rPr>
        <w:t>Chemotherapy</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2014</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59</w:t>
      </w:r>
      <w:r w:rsidRPr="00925C57">
        <w:rPr>
          <w:rFonts w:ascii="Palatino Linotype" w:hAnsi="Palatino Linotype" w:cs="Times New Roman"/>
          <w:sz w:val="18"/>
          <w:szCs w:val="24"/>
          <w:lang w:val="en-US"/>
        </w:rPr>
        <w:t>, 373–378, doi:10.1159/000362436.</w:t>
      </w:r>
    </w:p>
    <w:p w14:paraId="7183A4DE"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27. </w:t>
      </w:r>
      <w:r w:rsidRPr="00925C57">
        <w:rPr>
          <w:rFonts w:ascii="Palatino Linotype" w:hAnsi="Palatino Linotype" w:cs="Times New Roman"/>
          <w:sz w:val="18"/>
          <w:szCs w:val="24"/>
          <w:lang w:val="en-US"/>
        </w:rPr>
        <w:tab/>
        <w:t xml:space="preserve">Ishiguro, N.; Koseki, N.; Kaiho, M.; Ariga, T.; Kikuta, H.; Oba, K.; Togashi, T.; Morita, K.; Inagawa, A.; Okamura, A.; et al. Clinical effectiveness of four neuraminidase inhibitors (oseltamivir, zanamivir, laninamivir, and peramivir) for children with influenza A and B in the 2014–2015 to 2016–2017 influenza seasons in Japan. </w:t>
      </w:r>
      <w:r w:rsidRPr="00925C57">
        <w:rPr>
          <w:rFonts w:ascii="Palatino Linotype" w:hAnsi="Palatino Linotype" w:cs="Times New Roman"/>
          <w:i/>
          <w:iCs/>
          <w:sz w:val="18"/>
          <w:szCs w:val="24"/>
          <w:lang w:val="en-US"/>
        </w:rPr>
        <w:t>J. Infect. Chemother.</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2018</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24</w:t>
      </w:r>
      <w:r w:rsidRPr="00925C57">
        <w:rPr>
          <w:rFonts w:ascii="Palatino Linotype" w:hAnsi="Palatino Linotype" w:cs="Times New Roman"/>
          <w:sz w:val="18"/>
          <w:szCs w:val="24"/>
          <w:lang w:val="en-US"/>
        </w:rPr>
        <w:t>, 449–457, doi:10.1016/j.jiac.2018.01.013.</w:t>
      </w:r>
    </w:p>
    <w:p w14:paraId="6258BC87"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28. </w:t>
      </w:r>
      <w:r w:rsidRPr="00925C57">
        <w:rPr>
          <w:rFonts w:ascii="Palatino Linotype" w:hAnsi="Palatino Linotype" w:cs="Times New Roman"/>
          <w:sz w:val="18"/>
          <w:szCs w:val="24"/>
          <w:lang w:val="en-US"/>
        </w:rPr>
        <w:tab/>
        <w:t xml:space="preserve">Tran, N.; Van, T.; Nguyen, H.; Le, L. Identification of novel compounds against an R294K substitution of influenza A (H7N9) virus using ensemble based drug virtual screening. </w:t>
      </w:r>
      <w:r w:rsidRPr="00925C57">
        <w:rPr>
          <w:rFonts w:ascii="Palatino Linotype" w:hAnsi="Palatino Linotype" w:cs="Times New Roman"/>
          <w:i/>
          <w:iCs/>
          <w:sz w:val="18"/>
          <w:szCs w:val="24"/>
          <w:lang w:val="en-US"/>
        </w:rPr>
        <w:t>Int. J. Med. Sci.</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2015</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12</w:t>
      </w:r>
      <w:r w:rsidRPr="00925C57">
        <w:rPr>
          <w:rFonts w:ascii="Palatino Linotype" w:hAnsi="Palatino Linotype" w:cs="Times New Roman"/>
          <w:sz w:val="18"/>
          <w:szCs w:val="24"/>
          <w:lang w:val="en-US"/>
        </w:rPr>
        <w:t>, 163–176, doi:10.7150/ijms.10826.</w:t>
      </w:r>
    </w:p>
    <w:p w14:paraId="014565D5"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29. </w:t>
      </w:r>
      <w:r w:rsidRPr="00925C57">
        <w:rPr>
          <w:rFonts w:ascii="Palatino Linotype" w:hAnsi="Palatino Linotype" w:cs="Times New Roman"/>
          <w:sz w:val="18"/>
          <w:szCs w:val="24"/>
          <w:lang w:val="en-US"/>
        </w:rPr>
        <w:tab/>
        <w:t xml:space="preserve">Dong, Z.; Xia, Y.; Ya, X.; Chen, L.; Liu, C.; Wang, R.; Shen, Q. Epidemiological and genetic characteristics of the fifth avian influenza A(H7N9) wave in Suzhou, China, from October 2016 to April 2017. </w:t>
      </w:r>
      <w:r w:rsidRPr="00925C57">
        <w:rPr>
          <w:rFonts w:ascii="Palatino Linotype" w:hAnsi="Palatino Linotype" w:cs="Times New Roman"/>
          <w:i/>
          <w:iCs/>
          <w:sz w:val="18"/>
          <w:szCs w:val="24"/>
          <w:lang w:val="en-US"/>
        </w:rPr>
        <w:t>Virus Genes</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2018</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54</w:t>
      </w:r>
      <w:r w:rsidRPr="00925C57">
        <w:rPr>
          <w:rFonts w:ascii="Palatino Linotype" w:hAnsi="Palatino Linotype" w:cs="Times New Roman"/>
          <w:sz w:val="18"/>
          <w:szCs w:val="24"/>
          <w:lang w:val="en-US"/>
        </w:rPr>
        <w:t>, 182–189, doi:10.1007/s11262-018-1534-7.</w:t>
      </w:r>
    </w:p>
    <w:p w14:paraId="5E60473D"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lastRenderedPageBreak/>
        <w:t xml:space="preserve">30. </w:t>
      </w:r>
      <w:r w:rsidRPr="00925C57">
        <w:rPr>
          <w:rFonts w:ascii="Palatino Linotype" w:hAnsi="Palatino Linotype" w:cs="Times New Roman"/>
          <w:sz w:val="18"/>
          <w:szCs w:val="24"/>
          <w:lang w:val="en-US"/>
        </w:rPr>
        <w:tab/>
        <w:t xml:space="preserve">Pettersen, E.F.; Goddard, T.D.; Huang, C.C.; Couch, G.S.; Greenblatt, D.M.; Meng, E.C.; Ferrin, T.E. UCSF Chimera—A Visualization System for Exploratory Research and Analysis. </w:t>
      </w:r>
      <w:r w:rsidRPr="00925C57">
        <w:rPr>
          <w:rFonts w:ascii="Palatino Linotype" w:hAnsi="Palatino Linotype" w:cs="Times New Roman"/>
          <w:i/>
          <w:iCs/>
          <w:sz w:val="18"/>
          <w:szCs w:val="24"/>
          <w:lang w:val="en-US"/>
        </w:rPr>
        <w:t>J Comput Chem</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2004</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25</w:t>
      </w:r>
      <w:r w:rsidRPr="00925C57">
        <w:rPr>
          <w:rFonts w:ascii="Palatino Linotype" w:hAnsi="Palatino Linotype" w:cs="Times New Roman"/>
          <w:sz w:val="18"/>
          <w:szCs w:val="24"/>
          <w:lang w:val="en-US"/>
        </w:rPr>
        <w:t>, 1605–1612, doi:10.1002/jcc.20084.</w:t>
      </w:r>
    </w:p>
    <w:p w14:paraId="2E99C51B"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31. </w:t>
      </w:r>
      <w:r w:rsidRPr="00925C57">
        <w:rPr>
          <w:rFonts w:ascii="Palatino Linotype" w:hAnsi="Palatino Linotype" w:cs="Times New Roman"/>
          <w:sz w:val="18"/>
          <w:szCs w:val="24"/>
          <w:lang w:val="en-US"/>
        </w:rPr>
        <w:tab/>
        <w:t xml:space="preserve">Molecular Operating Environment (MOE), 2013.08 Molecular Operating Environment (MOE), 2013.08; Chemical Computing Group Inc., 1010 Sherbooke St. West, Suite #910, Montreal, QC, Canada, H3A 2R7. </w:t>
      </w:r>
      <w:r w:rsidRPr="00925C57">
        <w:rPr>
          <w:rFonts w:ascii="Palatino Linotype" w:hAnsi="Palatino Linotype" w:cs="Times New Roman"/>
          <w:i/>
          <w:iCs/>
          <w:sz w:val="18"/>
          <w:szCs w:val="24"/>
          <w:lang w:val="en-US"/>
        </w:rPr>
        <w:t>Mol. Oper. Environ. (MOE), 2013.08; Chem. Comput. Gr. Inc., 1010 Sherbooke St. West, Suite #910, Montr. QC, Canada, H3A 2R7, 2013.</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2016</w:t>
      </w:r>
      <w:r w:rsidRPr="00925C57">
        <w:rPr>
          <w:rFonts w:ascii="Palatino Linotype" w:hAnsi="Palatino Linotype" w:cs="Times New Roman"/>
          <w:sz w:val="18"/>
          <w:szCs w:val="24"/>
          <w:lang w:val="en-US"/>
        </w:rPr>
        <w:t>.</w:t>
      </w:r>
    </w:p>
    <w:p w14:paraId="5C2B68DC"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32. </w:t>
      </w:r>
      <w:r w:rsidRPr="00925C57">
        <w:rPr>
          <w:rFonts w:ascii="Palatino Linotype" w:hAnsi="Palatino Linotype" w:cs="Times New Roman"/>
          <w:sz w:val="18"/>
          <w:szCs w:val="24"/>
          <w:lang w:val="en-US"/>
        </w:rPr>
        <w:tab/>
        <w:t xml:space="preserve">Morris, G.; Huey, R. AutoDock4 and AutoDockTools4: Automated docking with selective receptor flexibility. </w:t>
      </w:r>
      <w:r w:rsidRPr="00925C57">
        <w:rPr>
          <w:rFonts w:ascii="Palatino Linotype" w:hAnsi="Palatino Linotype" w:cs="Times New Roman"/>
          <w:i/>
          <w:iCs/>
          <w:sz w:val="18"/>
          <w:szCs w:val="24"/>
          <w:lang w:val="en-US"/>
        </w:rPr>
        <w:t>J. …</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2009</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30</w:t>
      </w:r>
      <w:r w:rsidRPr="00925C57">
        <w:rPr>
          <w:rFonts w:ascii="Palatino Linotype" w:hAnsi="Palatino Linotype" w:cs="Times New Roman"/>
          <w:sz w:val="18"/>
          <w:szCs w:val="24"/>
          <w:lang w:val="en-US"/>
        </w:rPr>
        <w:t>, 2785–2791, doi:10.1002/jcc.21256.AutoDock4.</w:t>
      </w:r>
    </w:p>
    <w:p w14:paraId="0862A7C7"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33. </w:t>
      </w:r>
      <w:r w:rsidRPr="00925C57">
        <w:rPr>
          <w:rFonts w:ascii="Palatino Linotype" w:hAnsi="Palatino Linotype" w:cs="Times New Roman"/>
          <w:sz w:val="18"/>
          <w:szCs w:val="24"/>
          <w:lang w:val="en-US"/>
        </w:rPr>
        <w:tab/>
        <w:t>The PyMOL Molecular Graphics System, Version 1.2r3pre, Schrödinger, LLC.</w:t>
      </w:r>
    </w:p>
    <w:p w14:paraId="4BCB2754"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sz w:val="18"/>
          <w:szCs w:val="24"/>
          <w:lang w:val="en-US"/>
        </w:rPr>
        <w:t xml:space="preserve">34. </w:t>
      </w:r>
      <w:r w:rsidRPr="00925C57">
        <w:rPr>
          <w:rFonts w:ascii="Palatino Linotype" w:hAnsi="Palatino Linotype" w:cs="Times New Roman"/>
          <w:sz w:val="18"/>
          <w:szCs w:val="24"/>
          <w:lang w:val="en-US"/>
        </w:rPr>
        <w:tab/>
        <w:t xml:space="preserve">Jones, G.; Willett, P.; Glen, R.C.; Leach, A.R.; Taylor, R. Development and validation of a genetic algorithm for flexible docking. </w:t>
      </w:r>
      <w:r w:rsidRPr="00925C57">
        <w:rPr>
          <w:rFonts w:ascii="Palatino Linotype" w:hAnsi="Palatino Linotype" w:cs="Times New Roman"/>
          <w:i/>
          <w:iCs/>
          <w:sz w:val="18"/>
          <w:szCs w:val="24"/>
          <w:lang w:val="en-US"/>
        </w:rPr>
        <w:t>J. Mol. Biol.</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1997</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267</w:t>
      </w:r>
      <w:r w:rsidRPr="00925C57">
        <w:rPr>
          <w:rFonts w:ascii="Palatino Linotype" w:hAnsi="Palatino Linotype" w:cs="Times New Roman"/>
          <w:sz w:val="18"/>
          <w:szCs w:val="24"/>
          <w:lang w:val="en-US"/>
        </w:rPr>
        <w:t>, 727–748, doi:10.1006/jmbi.1996.0897.</w:t>
      </w:r>
    </w:p>
    <w:p w14:paraId="4BB09788" w14:textId="77777777" w:rsidR="00347A50" w:rsidRPr="00925C57" w:rsidRDefault="00347A50" w:rsidP="0079274B">
      <w:pPr>
        <w:adjustRightInd w:val="0"/>
        <w:snapToGrid w:val="0"/>
        <w:spacing w:after="0" w:line="228" w:lineRule="auto"/>
        <w:ind w:left="425" w:hanging="425"/>
        <w:jc w:val="both"/>
        <w:rPr>
          <w:rFonts w:ascii="Palatino Linotype" w:hAnsi="Palatino Linotype" w:cs="Times New Roman"/>
          <w:sz w:val="18"/>
          <w:lang w:val="en-US"/>
        </w:rPr>
      </w:pPr>
      <w:r w:rsidRPr="00925C57">
        <w:rPr>
          <w:rFonts w:ascii="Palatino Linotype" w:hAnsi="Palatino Linotype" w:cs="Times New Roman"/>
          <w:sz w:val="18"/>
          <w:szCs w:val="24"/>
          <w:lang w:val="en-US"/>
        </w:rPr>
        <w:t xml:space="preserve">35. </w:t>
      </w:r>
      <w:r w:rsidRPr="00925C57">
        <w:rPr>
          <w:rFonts w:ascii="Palatino Linotype" w:hAnsi="Palatino Linotype" w:cs="Times New Roman"/>
          <w:sz w:val="18"/>
          <w:szCs w:val="24"/>
          <w:lang w:val="en-US"/>
        </w:rPr>
        <w:tab/>
        <w:t xml:space="preserve">Bell, E.W.; Zhang, Y. DockRMSD: An open-source tool for atom mapping and RMSD calculation of symmetric molecules through graph isomorphism. </w:t>
      </w:r>
      <w:r w:rsidRPr="00925C57">
        <w:rPr>
          <w:rFonts w:ascii="Palatino Linotype" w:hAnsi="Palatino Linotype" w:cs="Times New Roman"/>
          <w:i/>
          <w:iCs/>
          <w:sz w:val="18"/>
          <w:szCs w:val="24"/>
          <w:lang w:val="en-US"/>
        </w:rPr>
        <w:t>J. Cheminform.</w:t>
      </w:r>
      <w:r w:rsidRPr="00925C57">
        <w:rPr>
          <w:rFonts w:ascii="Palatino Linotype" w:hAnsi="Palatino Linotype" w:cs="Times New Roman"/>
          <w:sz w:val="18"/>
          <w:szCs w:val="24"/>
          <w:lang w:val="en-US"/>
        </w:rPr>
        <w:t xml:space="preserve"> </w:t>
      </w:r>
      <w:r w:rsidRPr="00925C57">
        <w:rPr>
          <w:rFonts w:ascii="Palatino Linotype" w:hAnsi="Palatino Linotype" w:cs="Times New Roman"/>
          <w:b/>
          <w:bCs/>
          <w:sz w:val="18"/>
          <w:szCs w:val="24"/>
          <w:lang w:val="en-US"/>
        </w:rPr>
        <w:t>2019</w:t>
      </w:r>
      <w:r w:rsidRPr="00925C57">
        <w:rPr>
          <w:rFonts w:ascii="Palatino Linotype" w:hAnsi="Palatino Linotype" w:cs="Times New Roman"/>
          <w:sz w:val="18"/>
          <w:szCs w:val="24"/>
          <w:lang w:val="en-US"/>
        </w:rPr>
        <w:t xml:space="preserve">, </w:t>
      </w:r>
      <w:r w:rsidRPr="00925C57">
        <w:rPr>
          <w:rFonts w:ascii="Palatino Linotype" w:hAnsi="Palatino Linotype" w:cs="Times New Roman"/>
          <w:i/>
          <w:iCs/>
          <w:sz w:val="18"/>
          <w:szCs w:val="24"/>
          <w:lang w:val="en-US"/>
        </w:rPr>
        <w:t>11</w:t>
      </w:r>
      <w:r w:rsidRPr="00925C57">
        <w:rPr>
          <w:rFonts w:ascii="Palatino Linotype" w:hAnsi="Palatino Linotype" w:cs="Times New Roman"/>
          <w:sz w:val="18"/>
          <w:szCs w:val="24"/>
          <w:lang w:val="en-US"/>
        </w:rPr>
        <w:t>, doi:10.1186/s13321-019-0362-7.</w:t>
      </w:r>
    </w:p>
    <w:p w14:paraId="5540A0E2" w14:textId="0693E45E" w:rsidR="00BC286F" w:rsidRPr="00925C57" w:rsidRDefault="00BF79F8" w:rsidP="0079274B">
      <w:pPr>
        <w:adjustRightInd w:val="0"/>
        <w:snapToGrid w:val="0"/>
        <w:spacing w:after="0" w:line="228" w:lineRule="auto"/>
        <w:ind w:left="425" w:hanging="425"/>
        <w:jc w:val="both"/>
        <w:rPr>
          <w:rFonts w:ascii="Palatino Linotype" w:hAnsi="Palatino Linotype" w:cs="Times New Roman"/>
          <w:sz w:val="18"/>
          <w:szCs w:val="24"/>
          <w:lang w:val="en-US"/>
        </w:rPr>
      </w:pPr>
      <w:r w:rsidRPr="00925C57">
        <w:rPr>
          <w:rFonts w:ascii="Palatino Linotype" w:hAnsi="Palatino Linotype" w:cs="Times New Roman"/>
          <w:b/>
          <w:sz w:val="18"/>
          <w:szCs w:val="24"/>
          <w:lang w:val="en-US"/>
        </w:rPr>
        <w:fldChar w:fldCharType="end"/>
      </w:r>
    </w:p>
    <w:sectPr w:rsidR="00BC286F" w:rsidRPr="00925C57" w:rsidSect="000C763F">
      <w:headerReference w:type="default" r:id="rId17"/>
      <w:footerReference w:type="default" r:id="rId18"/>
      <w:headerReference w:type="first" r:id="rId19"/>
      <w:footerReference w:type="first" r:id="rId20"/>
      <w:type w:val="continuous"/>
      <w:pgSz w:w="11906" w:h="16838"/>
      <w:pgMar w:top="1417" w:right="720" w:bottom="1077" w:left="720" w:header="1020" w:footer="340" w:gutter="0"/>
      <w:lnNumType w:countBy="1" w:restart="continuous"/>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005B8" w14:textId="77777777" w:rsidR="00DF1420" w:rsidRDefault="00DF1420" w:rsidP="002D5AF7">
      <w:pPr>
        <w:spacing w:after="0" w:line="240" w:lineRule="auto"/>
      </w:pPr>
      <w:r>
        <w:separator/>
      </w:r>
    </w:p>
  </w:endnote>
  <w:endnote w:type="continuationSeparator" w:id="0">
    <w:p w14:paraId="1091AA4F" w14:textId="77777777" w:rsidR="00DF1420" w:rsidRDefault="00DF1420" w:rsidP="002D5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4E"/>
    <w:family w:val="auto"/>
    <w:pitch w:val="variable"/>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4E"/>
    <w:family w:val="auto"/>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67407"/>
      <w:docPartObj>
        <w:docPartGallery w:val="Page Numbers (Bottom of Page)"/>
        <w:docPartUnique/>
      </w:docPartObj>
    </w:sdtPr>
    <w:sdtContent>
      <w:p w14:paraId="21266369" w14:textId="1EE9FE55" w:rsidR="00FE407B" w:rsidRDefault="00FE407B">
        <w:pPr>
          <w:pStyle w:val="Footer"/>
          <w:jc w:val="right"/>
        </w:pPr>
        <w:r>
          <w:fldChar w:fldCharType="begin"/>
        </w:r>
        <w:r>
          <w:instrText>PAGE   \* MERGEFORMAT</w:instrText>
        </w:r>
        <w:r>
          <w:fldChar w:fldCharType="separate"/>
        </w:r>
        <w:r>
          <w:rPr>
            <w:noProof/>
          </w:rPr>
          <w:t>27</w:t>
        </w:r>
        <w:r>
          <w:fldChar w:fldCharType="end"/>
        </w:r>
      </w:p>
    </w:sdtContent>
  </w:sdt>
  <w:p w14:paraId="2B76E0B8" w14:textId="77777777" w:rsidR="00FE407B" w:rsidRDefault="00FE4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4B4B" w14:textId="77777777" w:rsidR="00A64B03" w:rsidRDefault="00A64B03" w:rsidP="00A64B03">
    <w:pPr>
      <w:pStyle w:val="MDPIfooterfirstpage"/>
      <w:pBdr>
        <w:top w:val="single" w:sz="4" w:space="0" w:color="000000"/>
      </w:pBdr>
      <w:adjustRightInd w:val="0"/>
      <w:snapToGrid w:val="0"/>
      <w:spacing w:before="480" w:line="100" w:lineRule="exact"/>
      <w:rPr>
        <w:i/>
        <w:iCs/>
        <w:lang w:val="fr-CH"/>
      </w:rPr>
    </w:pPr>
  </w:p>
  <w:p w14:paraId="2288733C" w14:textId="152DFB1D" w:rsidR="00A64B03" w:rsidRPr="008B308E" w:rsidRDefault="00A64B03" w:rsidP="00A64B03">
    <w:pPr>
      <w:pStyle w:val="MDPIfooterfirstpage"/>
      <w:tabs>
        <w:tab w:val="clear" w:pos="8845"/>
        <w:tab w:val="right" w:pos="10466"/>
      </w:tabs>
      <w:spacing w:line="240" w:lineRule="auto"/>
      <w:jc w:val="both"/>
      <w:rPr>
        <w:lang w:val="fr-CH"/>
      </w:rPr>
    </w:pPr>
    <w:proofErr w:type="spellStart"/>
    <w:r>
      <w:rPr>
        <w:i/>
        <w:iCs/>
        <w:lang w:val="fr-CH"/>
      </w:rPr>
      <w:t>Molecules</w:t>
    </w:r>
    <w:proofErr w:type="spellEnd"/>
    <w:r w:rsidRPr="00176A50">
      <w:rPr>
        <w:i/>
        <w:lang w:val="fr-CH"/>
      </w:rPr>
      <w:t xml:space="preserve"> </w:t>
    </w:r>
    <w:r w:rsidRPr="00BE6385">
      <w:rPr>
        <w:b/>
        <w:iCs/>
        <w:lang w:val="fr-CH"/>
      </w:rPr>
      <w:t>202</w:t>
    </w:r>
    <w:r w:rsidR="00925C57">
      <w:rPr>
        <w:b/>
        <w:iCs/>
        <w:lang w:val="fr-CH"/>
      </w:rPr>
      <w:t>2</w:t>
    </w:r>
    <w:r w:rsidRPr="00103C88">
      <w:rPr>
        <w:iCs/>
        <w:lang w:val="fr-CH"/>
      </w:rPr>
      <w:t xml:space="preserve">, </w:t>
    </w:r>
    <w:r w:rsidRPr="00BE6385">
      <w:rPr>
        <w:i/>
        <w:iCs/>
        <w:lang w:val="fr-CH"/>
      </w:rPr>
      <w:t>26</w:t>
    </w:r>
    <w:r w:rsidRPr="00103C88">
      <w:rPr>
        <w:iCs/>
        <w:lang w:val="fr-CH"/>
      </w:rPr>
      <w:t xml:space="preserve">, </w:t>
    </w:r>
    <w:r>
      <w:rPr>
        <w:iCs/>
        <w:lang w:val="fr-CH"/>
      </w:rPr>
      <w:t>x. https://doi.org/10.3390/xxxxx</w:t>
    </w:r>
    <w:r w:rsidRPr="008B308E">
      <w:rPr>
        <w:lang w:val="fr-CH"/>
      </w:rPr>
      <w:tab/>
      <w:t>www.mdpi.com/journal/</w:t>
    </w:r>
    <w:r w:rsidRPr="00F95CB5">
      <w:rPr>
        <w:iCs/>
        <w:lang w:val="fr-CH"/>
      </w:rPr>
      <w:t>molecules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F9A82" w14:textId="77777777" w:rsidR="00DF1420" w:rsidRDefault="00DF1420" w:rsidP="002D5AF7">
      <w:pPr>
        <w:spacing w:after="0" w:line="240" w:lineRule="auto"/>
      </w:pPr>
      <w:r>
        <w:separator/>
      </w:r>
    </w:p>
  </w:footnote>
  <w:footnote w:type="continuationSeparator" w:id="0">
    <w:p w14:paraId="404CE9A0" w14:textId="77777777" w:rsidR="00DF1420" w:rsidRDefault="00DF1420" w:rsidP="002D5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C5903" w14:textId="037BE857" w:rsidR="00A64B03" w:rsidRPr="002E0011" w:rsidRDefault="00A64B03" w:rsidP="00A64B03">
    <w:pPr>
      <w:tabs>
        <w:tab w:val="right" w:pos="10466"/>
      </w:tabs>
      <w:adjustRightInd w:val="0"/>
      <w:snapToGrid w:val="0"/>
      <w:spacing w:line="240" w:lineRule="auto"/>
      <w:rPr>
        <w:sz w:val="16"/>
        <w:lang w:val="en-US"/>
      </w:rPr>
    </w:pPr>
    <w:r w:rsidRPr="002E0011">
      <w:rPr>
        <w:i/>
        <w:sz w:val="16"/>
        <w:lang w:val="en-US"/>
      </w:rPr>
      <w:t xml:space="preserve">Molecules </w:t>
    </w:r>
    <w:r w:rsidRPr="002E0011">
      <w:rPr>
        <w:b/>
        <w:sz w:val="16"/>
        <w:lang w:val="en-US"/>
      </w:rPr>
      <w:t>202</w:t>
    </w:r>
    <w:r w:rsidR="00925C57" w:rsidRPr="002E0011">
      <w:rPr>
        <w:b/>
        <w:sz w:val="16"/>
        <w:lang w:val="en-US"/>
      </w:rPr>
      <w:t>2</w:t>
    </w:r>
    <w:r w:rsidRPr="002E0011">
      <w:rPr>
        <w:sz w:val="16"/>
        <w:lang w:val="en-US"/>
      </w:rPr>
      <w:t xml:space="preserve">, </w:t>
    </w:r>
    <w:r w:rsidRPr="002E0011">
      <w:rPr>
        <w:i/>
        <w:sz w:val="16"/>
        <w:lang w:val="en-US"/>
      </w:rPr>
      <w:t>26</w:t>
    </w:r>
    <w:r w:rsidRPr="002E0011">
      <w:rPr>
        <w:sz w:val="16"/>
        <w:lang w:val="en-US"/>
      </w:rPr>
      <w:t>, x FOR PEER REVIEW</w:t>
    </w:r>
    <w:r w:rsidRPr="002E0011">
      <w:rPr>
        <w:sz w:val="16"/>
        <w:lang w:val="en-US"/>
      </w:rPr>
      <w:tab/>
    </w:r>
    <w:r>
      <w:rPr>
        <w:sz w:val="16"/>
      </w:rPr>
      <w:fldChar w:fldCharType="begin"/>
    </w:r>
    <w:r w:rsidRPr="002E0011">
      <w:rPr>
        <w:sz w:val="16"/>
        <w:lang w:val="en-US"/>
      </w:rPr>
      <w:instrText xml:space="preserve"> PAGE   \* MERGEFORMAT </w:instrText>
    </w:r>
    <w:r>
      <w:rPr>
        <w:sz w:val="16"/>
      </w:rPr>
      <w:fldChar w:fldCharType="separate"/>
    </w:r>
    <w:r w:rsidRPr="002E0011">
      <w:rPr>
        <w:sz w:val="16"/>
        <w:lang w:val="en-US"/>
      </w:rPr>
      <w:t>2</w:t>
    </w:r>
    <w:r>
      <w:rPr>
        <w:sz w:val="16"/>
      </w:rPr>
      <w:fldChar w:fldCharType="end"/>
    </w:r>
    <w:r w:rsidRPr="002E0011">
      <w:rPr>
        <w:sz w:val="16"/>
        <w:lang w:val="en-US"/>
      </w:rPr>
      <w:t xml:space="preserve"> of </w:t>
    </w:r>
    <w:r>
      <w:rPr>
        <w:sz w:val="16"/>
      </w:rPr>
      <w:fldChar w:fldCharType="begin"/>
    </w:r>
    <w:r w:rsidRPr="002E0011">
      <w:rPr>
        <w:sz w:val="16"/>
        <w:lang w:val="en-US"/>
      </w:rPr>
      <w:instrText xml:space="preserve"> NUMPAGES   \* MERGEFORMAT </w:instrText>
    </w:r>
    <w:r>
      <w:rPr>
        <w:sz w:val="16"/>
      </w:rPr>
      <w:fldChar w:fldCharType="separate"/>
    </w:r>
    <w:r w:rsidRPr="002E0011">
      <w:rPr>
        <w:sz w:val="16"/>
        <w:lang w:val="en-US"/>
      </w:rPr>
      <w:t>5</w:t>
    </w:r>
    <w:r>
      <w:rPr>
        <w:sz w:val="16"/>
      </w:rPr>
      <w:fldChar w:fldCharType="end"/>
    </w:r>
  </w:p>
  <w:p w14:paraId="311F993D" w14:textId="77777777" w:rsidR="00A64B03" w:rsidRPr="002E0011" w:rsidRDefault="00A64B03" w:rsidP="00A64B03">
    <w:pPr>
      <w:pBdr>
        <w:bottom w:val="single" w:sz="4" w:space="1" w:color="000000"/>
      </w:pBdr>
      <w:tabs>
        <w:tab w:val="right" w:pos="8844"/>
      </w:tabs>
      <w:adjustRightInd w:val="0"/>
      <w:snapToGrid w:val="0"/>
      <w:spacing w:after="480" w:line="100" w:lineRule="exact"/>
      <w:rPr>
        <w:sz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A64B03" w:rsidRPr="00B94E07" w14:paraId="76F8C213" w14:textId="77777777" w:rsidTr="00DF0003">
      <w:trPr>
        <w:trHeight w:val="686"/>
      </w:trPr>
      <w:tc>
        <w:tcPr>
          <w:tcW w:w="3679" w:type="dxa"/>
          <w:shd w:val="clear" w:color="auto" w:fill="auto"/>
          <w:vAlign w:val="center"/>
        </w:tcPr>
        <w:p w14:paraId="5DC18106" w14:textId="77777777" w:rsidR="00A64B03" w:rsidRPr="00E83CCC" w:rsidRDefault="00A64B03" w:rsidP="00A64B03">
          <w:pPr>
            <w:pStyle w:val="Header"/>
            <w:rPr>
              <w:rFonts w:eastAsia="DengXian"/>
              <w:b/>
              <w:bCs/>
            </w:rPr>
          </w:pPr>
          <w:bookmarkStart w:id="1" w:name="OLE_LINK1"/>
          <w:bookmarkStart w:id="2" w:name="OLE_LINK2"/>
          <w:bookmarkStart w:id="3" w:name="_Hlk88665258"/>
          <w:bookmarkStart w:id="4" w:name="OLE_LINK5"/>
          <w:bookmarkStart w:id="5" w:name="OLE_LINK6"/>
          <w:bookmarkStart w:id="6" w:name="_Hlk90028340"/>
          <w:bookmarkStart w:id="7" w:name="OLE_LINK8"/>
          <w:bookmarkStart w:id="8" w:name="OLE_LINK9"/>
          <w:bookmarkStart w:id="9" w:name="_Hlk92714869"/>
          <w:r w:rsidRPr="00E83CCC">
            <w:rPr>
              <w:rFonts w:eastAsia="DengXian"/>
              <w:b/>
              <w:bCs/>
              <w:noProof/>
            </w:rPr>
            <w:drawing>
              <wp:inline distT="0" distB="0" distL="0" distR="0" wp14:anchorId="155CE98C" wp14:editId="28784F37">
                <wp:extent cx="1807845" cy="429260"/>
                <wp:effectExtent l="0" t="0" r="0" b="0"/>
                <wp:docPr id="29" name="Picture 5" descr="C:\Users\home\Desktop\logos\molecu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molecul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429260"/>
                        </a:xfrm>
                        <a:prstGeom prst="rect">
                          <a:avLst/>
                        </a:prstGeom>
                        <a:noFill/>
                        <a:ln>
                          <a:noFill/>
                        </a:ln>
                      </pic:spPr>
                    </pic:pic>
                  </a:graphicData>
                </a:graphic>
              </wp:inline>
            </w:drawing>
          </w:r>
        </w:p>
      </w:tc>
      <w:tc>
        <w:tcPr>
          <w:tcW w:w="4535" w:type="dxa"/>
          <w:shd w:val="clear" w:color="auto" w:fill="auto"/>
          <w:vAlign w:val="center"/>
        </w:tcPr>
        <w:p w14:paraId="637FB212" w14:textId="77777777" w:rsidR="00A64B03" w:rsidRPr="00E83CCC" w:rsidRDefault="00A64B03" w:rsidP="00A64B03">
          <w:pPr>
            <w:pStyle w:val="Header"/>
            <w:rPr>
              <w:rFonts w:eastAsia="DengXian"/>
              <w:b/>
              <w:bCs/>
            </w:rPr>
          </w:pPr>
        </w:p>
      </w:tc>
      <w:tc>
        <w:tcPr>
          <w:tcW w:w="2273" w:type="dxa"/>
          <w:shd w:val="clear" w:color="auto" w:fill="auto"/>
          <w:vAlign w:val="center"/>
        </w:tcPr>
        <w:p w14:paraId="34DF5626" w14:textId="77777777" w:rsidR="00A64B03" w:rsidRPr="00E83CCC" w:rsidRDefault="00A64B03" w:rsidP="00A64B03">
          <w:pPr>
            <w:pStyle w:val="Header"/>
            <w:jc w:val="right"/>
            <w:rPr>
              <w:rFonts w:eastAsia="DengXian"/>
              <w:b/>
              <w:bCs/>
            </w:rPr>
          </w:pPr>
          <w:r w:rsidRPr="00E83CCC">
            <w:rPr>
              <w:rFonts w:eastAsia="DengXian"/>
              <w:b/>
              <w:bCs/>
              <w:noProof/>
            </w:rPr>
            <w:drawing>
              <wp:inline distT="0" distB="0" distL="0" distR="0" wp14:anchorId="2A83C307" wp14:editId="1BDDB96A">
                <wp:extent cx="540385" cy="3530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bookmarkEnd w:id="1"/>
    <w:bookmarkEnd w:id="2"/>
    <w:bookmarkEnd w:id="3"/>
    <w:bookmarkEnd w:id="4"/>
    <w:bookmarkEnd w:id="5"/>
    <w:bookmarkEnd w:id="6"/>
    <w:bookmarkEnd w:id="7"/>
    <w:bookmarkEnd w:id="8"/>
    <w:bookmarkEnd w:id="9"/>
  </w:tbl>
  <w:p w14:paraId="403A3DAD" w14:textId="77777777" w:rsidR="00A64B03" w:rsidRPr="008D336B" w:rsidRDefault="00A64B03" w:rsidP="00A64B03">
    <w:pPr>
      <w:pBdr>
        <w:bottom w:val="single" w:sz="4" w:space="1" w:color="000000"/>
      </w:pBdr>
      <w:adjustRightInd w:val="0"/>
      <w:snapToGrid w:val="0"/>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117D0"/>
    <w:multiLevelType w:val="hybridMultilevel"/>
    <w:tmpl w:val="BA18B0DA"/>
    <w:lvl w:ilvl="0" w:tplc="89783092">
      <w:start w:val="2"/>
      <w:numFmt w:val="bullet"/>
      <w:lvlText w:val=""/>
      <w:lvlJc w:val="left"/>
      <w:pPr>
        <w:ind w:left="720" w:hanging="360"/>
      </w:pPr>
      <w:rPr>
        <w:rFonts w:ascii="Symbol" w:eastAsiaTheme="minorHAnsi" w:hAnsi="Symbol" w:cs="Times New Roman" w:hint="default"/>
        <w:color w:val="00B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204AE7"/>
    <w:multiLevelType w:val="hybridMultilevel"/>
    <w:tmpl w:val="421466CC"/>
    <w:lvl w:ilvl="0" w:tplc="18EECC5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1927C0"/>
    <w:multiLevelType w:val="hybridMultilevel"/>
    <w:tmpl w:val="097652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4AB0027E"/>
    <w:multiLevelType w:val="hybridMultilevel"/>
    <w:tmpl w:val="D452C784"/>
    <w:lvl w:ilvl="0" w:tplc="E4CADEE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6E935F0E"/>
    <w:multiLevelType w:val="hybridMultilevel"/>
    <w:tmpl w:val="E57C7C02"/>
    <w:lvl w:ilvl="0" w:tplc="89783092">
      <w:start w:val="2"/>
      <w:numFmt w:val="bullet"/>
      <w:lvlText w:val=""/>
      <w:lvlJc w:val="left"/>
      <w:pPr>
        <w:ind w:left="1440" w:hanging="360"/>
      </w:pPr>
      <w:rPr>
        <w:rFonts w:ascii="Symbol" w:eastAsiaTheme="minorHAnsi" w:hAnsi="Symbol" w:cs="Times New Roman" w:hint="default"/>
        <w:color w:val="00B050"/>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71BE6164"/>
    <w:multiLevelType w:val="hybridMultilevel"/>
    <w:tmpl w:val="43B838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8471FBF"/>
    <w:multiLevelType w:val="hybridMultilevel"/>
    <w:tmpl w:val="508EE22A"/>
    <w:lvl w:ilvl="0" w:tplc="89783092">
      <w:start w:val="2"/>
      <w:numFmt w:val="bullet"/>
      <w:lvlText w:val=""/>
      <w:lvlJc w:val="left"/>
      <w:pPr>
        <w:ind w:left="720" w:hanging="360"/>
      </w:pPr>
      <w:rPr>
        <w:rFonts w:ascii="Symbol" w:eastAsiaTheme="minorHAnsi" w:hAnsi="Symbol" w:cs="Times New Roman" w:hint="default"/>
        <w:color w:val="00B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94369617">
    <w:abstractNumId w:val="9"/>
  </w:num>
  <w:num w:numId="2" w16cid:durableId="2058620408">
    <w:abstractNumId w:val="3"/>
  </w:num>
  <w:num w:numId="3" w16cid:durableId="326329580">
    <w:abstractNumId w:val="5"/>
  </w:num>
  <w:num w:numId="4" w16cid:durableId="145975610">
    <w:abstractNumId w:val="0"/>
  </w:num>
  <w:num w:numId="5" w16cid:durableId="1054163168">
    <w:abstractNumId w:val="8"/>
  </w:num>
  <w:num w:numId="6" w16cid:durableId="1544173363">
    <w:abstractNumId w:val="10"/>
  </w:num>
  <w:num w:numId="7" w16cid:durableId="427392673">
    <w:abstractNumId w:val="2"/>
  </w:num>
  <w:num w:numId="8" w16cid:durableId="793602306">
    <w:abstractNumId w:val="7"/>
  </w:num>
  <w:num w:numId="9" w16cid:durableId="778600141">
    <w:abstractNumId w:val="4"/>
  </w:num>
  <w:num w:numId="10" w16cid:durableId="2039235195">
    <w:abstractNumId w:val="6"/>
  </w:num>
  <w:num w:numId="11" w16cid:durableId="2114662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de-DE" w:vendorID="64" w:dllVersion="0" w:nlCheck="1" w:checkStyle="0"/>
  <w:activeWritingStyle w:appName="MSWord" w:lang="pl-PL" w:vendorID="64" w:dllVersion="0" w:nlCheck="1" w:checkStyle="0"/>
  <w:activeWritingStyle w:appName="MSWord" w:lang="fr-CH" w:vendorID="64" w:dllVersion="0" w:nlCheck="1" w:checkStyle="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29D"/>
    <w:rsid w:val="00000F46"/>
    <w:rsid w:val="00002884"/>
    <w:rsid w:val="00002C6E"/>
    <w:rsid w:val="00006DCC"/>
    <w:rsid w:val="00007330"/>
    <w:rsid w:val="00007812"/>
    <w:rsid w:val="00007C33"/>
    <w:rsid w:val="0001281A"/>
    <w:rsid w:val="000233E3"/>
    <w:rsid w:val="0002463A"/>
    <w:rsid w:val="00025631"/>
    <w:rsid w:val="000257C8"/>
    <w:rsid w:val="000261B2"/>
    <w:rsid w:val="00027130"/>
    <w:rsid w:val="000314BA"/>
    <w:rsid w:val="00032274"/>
    <w:rsid w:val="00032A7C"/>
    <w:rsid w:val="000344BF"/>
    <w:rsid w:val="00035907"/>
    <w:rsid w:val="000417BB"/>
    <w:rsid w:val="00044029"/>
    <w:rsid w:val="00045F21"/>
    <w:rsid w:val="00046B8C"/>
    <w:rsid w:val="000471A7"/>
    <w:rsid w:val="000500C6"/>
    <w:rsid w:val="00053A36"/>
    <w:rsid w:val="00054C80"/>
    <w:rsid w:val="0006130F"/>
    <w:rsid w:val="00061821"/>
    <w:rsid w:val="00062FEF"/>
    <w:rsid w:val="00063485"/>
    <w:rsid w:val="00066ED7"/>
    <w:rsid w:val="00070037"/>
    <w:rsid w:val="00070C43"/>
    <w:rsid w:val="0007329D"/>
    <w:rsid w:val="00073531"/>
    <w:rsid w:val="0007788C"/>
    <w:rsid w:val="00077ADF"/>
    <w:rsid w:val="00077C09"/>
    <w:rsid w:val="00080027"/>
    <w:rsid w:val="0008115D"/>
    <w:rsid w:val="00082FEA"/>
    <w:rsid w:val="000840F0"/>
    <w:rsid w:val="00085ED2"/>
    <w:rsid w:val="00090407"/>
    <w:rsid w:val="000929B0"/>
    <w:rsid w:val="00093384"/>
    <w:rsid w:val="0009347C"/>
    <w:rsid w:val="0009555A"/>
    <w:rsid w:val="000A42E8"/>
    <w:rsid w:val="000A73D8"/>
    <w:rsid w:val="000B2DA7"/>
    <w:rsid w:val="000B3114"/>
    <w:rsid w:val="000B53DB"/>
    <w:rsid w:val="000B5D4D"/>
    <w:rsid w:val="000C68DE"/>
    <w:rsid w:val="000C72A8"/>
    <w:rsid w:val="000C763F"/>
    <w:rsid w:val="000D0341"/>
    <w:rsid w:val="000D1619"/>
    <w:rsid w:val="000D56A7"/>
    <w:rsid w:val="000E577D"/>
    <w:rsid w:val="000F14F0"/>
    <w:rsid w:val="000F2948"/>
    <w:rsid w:val="000F49CB"/>
    <w:rsid w:val="000F5044"/>
    <w:rsid w:val="000F7903"/>
    <w:rsid w:val="000F7BC8"/>
    <w:rsid w:val="001004A5"/>
    <w:rsid w:val="00100C03"/>
    <w:rsid w:val="00102532"/>
    <w:rsid w:val="00105DE3"/>
    <w:rsid w:val="001072A2"/>
    <w:rsid w:val="001078A3"/>
    <w:rsid w:val="00110D9E"/>
    <w:rsid w:val="00116C22"/>
    <w:rsid w:val="001247C8"/>
    <w:rsid w:val="00124FBE"/>
    <w:rsid w:val="00132FC7"/>
    <w:rsid w:val="001339E3"/>
    <w:rsid w:val="00133DE4"/>
    <w:rsid w:val="00134842"/>
    <w:rsid w:val="00134D1F"/>
    <w:rsid w:val="001353A8"/>
    <w:rsid w:val="00135BAE"/>
    <w:rsid w:val="0013688B"/>
    <w:rsid w:val="0013774C"/>
    <w:rsid w:val="001414D8"/>
    <w:rsid w:val="00144794"/>
    <w:rsid w:val="0014775C"/>
    <w:rsid w:val="00147831"/>
    <w:rsid w:val="00150DFE"/>
    <w:rsid w:val="00153EEA"/>
    <w:rsid w:val="00157A69"/>
    <w:rsid w:val="001658D5"/>
    <w:rsid w:val="00165922"/>
    <w:rsid w:val="00166AE3"/>
    <w:rsid w:val="0016781F"/>
    <w:rsid w:val="00170073"/>
    <w:rsid w:val="001725A7"/>
    <w:rsid w:val="00180B9D"/>
    <w:rsid w:val="00182A26"/>
    <w:rsid w:val="00182F99"/>
    <w:rsid w:val="001833DB"/>
    <w:rsid w:val="00194546"/>
    <w:rsid w:val="001953AC"/>
    <w:rsid w:val="001A0C14"/>
    <w:rsid w:val="001A2D39"/>
    <w:rsid w:val="001A3112"/>
    <w:rsid w:val="001A423A"/>
    <w:rsid w:val="001A4C36"/>
    <w:rsid w:val="001A4FDC"/>
    <w:rsid w:val="001A5CA8"/>
    <w:rsid w:val="001B1B31"/>
    <w:rsid w:val="001B4446"/>
    <w:rsid w:val="001B688D"/>
    <w:rsid w:val="001C3040"/>
    <w:rsid w:val="001C5B03"/>
    <w:rsid w:val="001D0DE8"/>
    <w:rsid w:val="001D54A9"/>
    <w:rsid w:val="001D5A31"/>
    <w:rsid w:val="001E3BDC"/>
    <w:rsid w:val="001E5E16"/>
    <w:rsid w:val="001E67EB"/>
    <w:rsid w:val="001E737A"/>
    <w:rsid w:val="001F355F"/>
    <w:rsid w:val="001F3CAC"/>
    <w:rsid w:val="001F4152"/>
    <w:rsid w:val="002000FC"/>
    <w:rsid w:val="00204861"/>
    <w:rsid w:val="0021172A"/>
    <w:rsid w:val="00220595"/>
    <w:rsid w:val="00233059"/>
    <w:rsid w:val="002340A4"/>
    <w:rsid w:val="00235BD9"/>
    <w:rsid w:val="002378FD"/>
    <w:rsid w:val="002430C5"/>
    <w:rsid w:val="002439D4"/>
    <w:rsid w:val="00244A9C"/>
    <w:rsid w:val="00246CCD"/>
    <w:rsid w:val="00246DBE"/>
    <w:rsid w:val="0024757F"/>
    <w:rsid w:val="00247FDD"/>
    <w:rsid w:val="00251070"/>
    <w:rsid w:val="002605CA"/>
    <w:rsid w:val="0026219D"/>
    <w:rsid w:val="00262AA8"/>
    <w:rsid w:val="00262E6D"/>
    <w:rsid w:val="00264C4F"/>
    <w:rsid w:val="0026545C"/>
    <w:rsid w:val="0026608B"/>
    <w:rsid w:val="0027122D"/>
    <w:rsid w:val="002719D9"/>
    <w:rsid w:val="002767E5"/>
    <w:rsid w:val="002772E6"/>
    <w:rsid w:val="00277470"/>
    <w:rsid w:val="0027769D"/>
    <w:rsid w:val="002818AB"/>
    <w:rsid w:val="002819D6"/>
    <w:rsid w:val="00287744"/>
    <w:rsid w:val="00290C34"/>
    <w:rsid w:val="002928B4"/>
    <w:rsid w:val="002934EC"/>
    <w:rsid w:val="00297436"/>
    <w:rsid w:val="002A1FC9"/>
    <w:rsid w:val="002A3548"/>
    <w:rsid w:val="002A54DC"/>
    <w:rsid w:val="002A600C"/>
    <w:rsid w:val="002B229E"/>
    <w:rsid w:val="002B311D"/>
    <w:rsid w:val="002B31D8"/>
    <w:rsid w:val="002B40CB"/>
    <w:rsid w:val="002B41F5"/>
    <w:rsid w:val="002C0F70"/>
    <w:rsid w:val="002C16B3"/>
    <w:rsid w:val="002C411E"/>
    <w:rsid w:val="002C5836"/>
    <w:rsid w:val="002C63BC"/>
    <w:rsid w:val="002D0536"/>
    <w:rsid w:val="002D5AF7"/>
    <w:rsid w:val="002D6025"/>
    <w:rsid w:val="002E0011"/>
    <w:rsid w:val="002E1771"/>
    <w:rsid w:val="002E27D7"/>
    <w:rsid w:val="002E3300"/>
    <w:rsid w:val="002E4A3A"/>
    <w:rsid w:val="002E59A0"/>
    <w:rsid w:val="002E5D76"/>
    <w:rsid w:val="002E7DC8"/>
    <w:rsid w:val="002F0E00"/>
    <w:rsid w:val="002F3541"/>
    <w:rsid w:val="002F37C2"/>
    <w:rsid w:val="002F4205"/>
    <w:rsid w:val="002F46FC"/>
    <w:rsid w:val="002F5839"/>
    <w:rsid w:val="003011C6"/>
    <w:rsid w:val="0030265B"/>
    <w:rsid w:val="0031016E"/>
    <w:rsid w:val="003101F9"/>
    <w:rsid w:val="00316A80"/>
    <w:rsid w:val="00325118"/>
    <w:rsid w:val="00325F80"/>
    <w:rsid w:val="00326146"/>
    <w:rsid w:val="00327ACD"/>
    <w:rsid w:val="0033355A"/>
    <w:rsid w:val="003347B8"/>
    <w:rsid w:val="00334B01"/>
    <w:rsid w:val="0034060B"/>
    <w:rsid w:val="003410A2"/>
    <w:rsid w:val="00341DF6"/>
    <w:rsid w:val="00341FF5"/>
    <w:rsid w:val="00347A50"/>
    <w:rsid w:val="00351457"/>
    <w:rsid w:val="003515EA"/>
    <w:rsid w:val="00351CBE"/>
    <w:rsid w:val="00353F31"/>
    <w:rsid w:val="00353F9B"/>
    <w:rsid w:val="00357F41"/>
    <w:rsid w:val="003654A8"/>
    <w:rsid w:val="00366DCE"/>
    <w:rsid w:val="003713B9"/>
    <w:rsid w:val="00371529"/>
    <w:rsid w:val="00374AE4"/>
    <w:rsid w:val="00374E87"/>
    <w:rsid w:val="00375EC2"/>
    <w:rsid w:val="00375F8A"/>
    <w:rsid w:val="00375FDC"/>
    <w:rsid w:val="0037751B"/>
    <w:rsid w:val="00377CB0"/>
    <w:rsid w:val="00383749"/>
    <w:rsid w:val="00385182"/>
    <w:rsid w:val="00385792"/>
    <w:rsid w:val="003864A2"/>
    <w:rsid w:val="00386FE2"/>
    <w:rsid w:val="00391C68"/>
    <w:rsid w:val="003926E1"/>
    <w:rsid w:val="00392A8B"/>
    <w:rsid w:val="00393252"/>
    <w:rsid w:val="0039492F"/>
    <w:rsid w:val="00395670"/>
    <w:rsid w:val="003B0A5C"/>
    <w:rsid w:val="003B11A3"/>
    <w:rsid w:val="003B16A3"/>
    <w:rsid w:val="003B4C3F"/>
    <w:rsid w:val="003B59A2"/>
    <w:rsid w:val="003B6A35"/>
    <w:rsid w:val="003C04E9"/>
    <w:rsid w:val="003C160C"/>
    <w:rsid w:val="003C7791"/>
    <w:rsid w:val="003D0267"/>
    <w:rsid w:val="003D2258"/>
    <w:rsid w:val="003D2B5B"/>
    <w:rsid w:val="003E0B28"/>
    <w:rsid w:val="003E29E3"/>
    <w:rsid w:val="003E48FC"/>
    <w:rsid w:val="003E6B04"/>
    <w:rsid w:val="003E7499"/>
    <w:rsid w:val="003E75CE"/>
    <w:rsid w:val="003F098E"/>
    <w:rsid w:val="003F189B"/>
    <w:rsid w:val="003F2000"/>
    <w:rsid w:val="003F5683"/>
    <w:rsid w:val="003F6D47"/>
    <w:rsid w:val="00401EF5"/>
    <w:rsid w:val="00405562"/>
    <w:rsid w:val="00405BD6"/>
    <w:rsid w:val="00407EC6"/>
    <w:rsid w:val="00410347"/>
    <w:rsid w:val="004112F6"/>
    <w:rsid w:val="00411315"/>
    <w:rsid w:val="00413F64"/>
    <w:rsid w:val="00414ABC"/>
    <w:rsid w:val="00414D5F"/>
    <w:rsid w:val="004156B2"/>
    <w:rsid w:val="00421676"/>
    <w:rsid w:val="004217EB"/>
    <w:rsid w:val="00422CA8"/>
    <w:rsid w:val="004233DE"/>
    <w:rsid w:val="004274DD"/>
    <w:rsid w:val="004330AA"/>
    <w:rsid w:val="00433D82"/>
    <w:rsid w:val="00433E06"/>
    <w:rsid w:val="00435072"/>
    <w:rsid w:val="00436A37"/>
    <w:rsid w:val="00436B43"/>
    <w:rsid w:val="004371BC"/>
    <w:rsid w:val="00437332"/>
    <w:rsid w:val="00440C35"/>
    <w:rsid w:val="00441C21"/>
    <w:rsid w:val="00446814"/>
    <w:rsid w:val="00450327"/>
    <w:rsid w:val="00450E7E"/>
    <w:rsid w:val="004526C1"/>
    <w:rsid w:val="004543BC"/>
    <w:rsid w:val="00454919"/>
    <w:rsid w:val="0045707F"/>
    <w:rsid w:val="0046115E"/>
    <w:rsid w:val="004612A7"/>
    <w:rsid w:val="0046432A"/>
    <w:rsid w:val="00466049"/>
    <w:rsid w:val="00466CB0"/>
    <w:rsid w:val="004733C6"/>
    <w:rsid w:val="00476E3F"/>
    <w:rsid w:val="00482C6A"/>
    <w:rsid w:val="00485151"/>
    <w:rsid w:val="00490A17"/>
    <w:rsid w:val="004942E1"/>
    <w:rsid w:val="004962EB"/>
    <w:rsid w:val="004A134C"/>
    <w:rsid w:val="004B1AB0"/>
    <w:rsid w:val="004B323C"/>
    <w:rsid w:val="004B413D"/>
    <w:rsid w:val="004B4C59"/>
    <w:rsid w:val="004B55E3"/>
    <w:rsid w:val="004B7EAE"/>
    <w:rsid w:val="004C256C"/>
    <w:rsid w:val="004C444E"/>
    <w:rsid w:val="004C55FB"/>
    <w:rsid w:val="004C7112"/>
    <w:rsid w:val="004D543E"/>
    <w:rsid w:val="004D6AF6"/>
    <w:rsid w:val="004D6E1F"/>
    <w:rsid w:val="004E55B7"/>
    <w:rsid w:val="004E6373"/>
    <w:rsid w:val="004F42C9"/>
    <w:rsid w:val="005054AC"/>
    <w:rsid w:val="00506C8B"/>
    <w:rsid w:val="00515197"/>
    <w:rsid w:val="0051524A"/>
    <w:rsid w:val="00517B94"/>
    <w:rsid w:val="005211EF"/>
    <w:rsid w:val="005215F0"/>
    <w:rsid w:val="0052370E"/>
    <w:rsid w:val="0052444D"/>
    <w:rsid w:val="005253A1"/>
    <w:rsid w:val="0052576C"/>
    <w:rsid w:val="00526B6F"/>
    <w:rsid w:val="00533781"/>
    <w:rsid w:val="00534CAE"/>
    <w:rsid w:val="00534E06"/>
    <w:rsid w:val="0053517E"/>
    <w:rsid w:val="00536C6A"/>
    <w:rsid w:val="00540062"/>
    <w:rsid w:val="00540F01"/>
    <w:rsid w:val="00545FBE"/>
    <w:rsid w:val="005479E1"/>
    <w:rsid w:val="00550315"/>
    <w:rsid w:val="0055089B"/>
    <w:rsid w:val="0055332A"/>
    <w:rsid w:val="005545F5"/>
    <w:rsid w:val="00555B84"/>
    <w:rsid w:val="00561E81"/>
    <w:rsid w:val="0056575B"/>
    <w:rsid w:val="00566C58"/>
    <w:rsid w:val="00567263"/>
    <w:rsid w:val="00571D72"/>
    <w:rsid w:val="00574F6E"/>
    <w:rsid w:val="00581119"/>
    <w:rsid w:val="00590B1B"/>
    <w:rsid w:val="00592F64"/>
    <w:rsid w:val="005B000F"/>
    <w:rsid w:val="005C41A4"/>
    <w:rsid w:val="005C4E4B"/>
    <w:rsid w:val="005D0B8E"/>
    <w:rsid w:val="005D5142"/>
    <w:rsid w:val="005D6A5B"/>
    <w:rsid w:val="005E00FF"/>
    <w:rsid w:val="005E5358"/>
    <w:rsid w:val="005F08E4"/>
    <w:rsid w:val="005F09AF"/>
    <w:rsid w:val="005F2CA6"/>
    <w:rsid w:val="005F47BB"/>
    <w:rsid w:val="005F66A3"/>
    <w:rsid w:val="005F670E"/>
    <w:rsid w:val="005F69F6"/>
    <w:rsid w:val="005F739C"/>
    <w:rsid w:val="0060036C"/>
    <w:rsid w:val="006023C8"/>
    <w:rsid w:val="00602D61"/>
    <w:rsid w:val="00604D25"/>
    <w:rsid w:val="006059CC"/>
    <w:rsid w:val="00606490"/>
    <w:rsid w:val="00613656"/>
    <w:rsid w:val="0061471F"/>
    <w:rsid w:val="00615379"/>
    <w:rsid w:val="00615894"/>
    <w:rsid w:val="0061743E"/>
    <w:rsid w:val="006174CB"/>
    <w:rsid w:val="006210E7"/>
    <w:rsid w:val="00621857"/>
    <w:rsid w:val="00622858"/>
    <w:rsid w:val="00626320"/>
    <w:rsid w:val="00632394"/>
    <w:rsid w:val="00632758"/>
    <w:rsid w:val="00632F3D"/>
    <w:rsid w:val="0063584B"/>
    <w:rsid w:val="00635FDA"/>
    <w:rsid w:val="006400CE"/>
    <w:rsid w:val="00641F70"/>
    <w:rsid w:val="00651DA2"/>
    <w:rsid w:val="00652115"/>
    <w:rsid w:val="00652836"/>
    <w:rsid w:val="006540E2"/>
    <w:rsid w:val="00654B5C"/>
    <w:rsid w:val="006561A1"/>
    <w:rsid w:val="006561F8"/>
    <w:rsid w:val="0065672E"/>
    <w:rsid w:val="006579B1"/>
    <w:rsid w:val="00657D62"/>
    <w:rsid w:val="0066063B"/>
    <w:rsid w:val="0066442C"/>
    <w:rsid w:val="00665A6E"/>
    <w:rsid w:val="00667FB7"/>
    <w:rsid w:val="0067172B"/>
    <w:rsid w:val="00672E11"/>
    <w:rsid w:val="00677C2E"/>
    <w:rsid w:val="00680A64"/>
    <w:rsid w:val="0068504E"/>
    <w:rsid w:val="00685733"/>
    <w:rsid w:val="006916A5"/>
    <w:rsid w:val="006A2469"/>
    <w:rsid w:val="006B0312"/>
    <w:rsid w:val="006B0333"/>
    <w:rsid w:val="006B3812"/>
    <w:rsid w:val="006B52FE"/>
    <w:rsid w:val="006B5346"/>
    <w:rsid w:val="006C19AB"/>
    <w:rsid w:val="006C201D"/>
    <w:rsid w:val="006C47FC"/>
    <w:rsid w:val="006C5815"/>
    <w:rsid w:val="006D14CF"/>
    <w:rsid w:val="006D2405"/>
    <w:rsid w:val="006D2D83"/>
    <w:rsid w:val="006D5A08"/>
    <w:rsid w:val="006D6680"/>
    <w:rsid w:val="006D677D"/>
    <w:rsid w:val="006E15F8"/>
    <w:rsid w:val="006E30EE"/>
    <w:rsid w:val="006E367E"/>
    <w:rsid w:val="006E6D3C"/>
    <w:rsid w:val="006F264F"/>
    <w:rsid w:val="006F3BA7"/>
    <w:rsid w:val="006F4B4B"/>
    <w:rsid w:val="006F73CC"/>
    <w:rsid w:val="00700A4F"/>
    <w:rsid w:val="00702043"/>
    <w:rsid w:val="007027FA"/>
    <w:rsid w:val="0070442A"/>
    <w:rsid w:val="007058D6"/>
    <w:rsid w:val="007136B5"/>
    <w:rsid w:val="0071453E"/>
    <w:rsid w:val="00717A20"/>
    <w:rsid w:val="00721519"/>
    <w:rsid w:val="007244E0"/>
    <w:rsid w:val="00726703"/>
    <w:rsid w:val="00727BA7"/>
    <w:rsid w:val="0073148A"/>
    <w:rsid w:val="00731B73"/>
    <w:rsid w:val="00733079"/>
    <w:rsid w:val="007350B4"/>
    <w:rsid w:val="00735299"/>
    <w:rsid w:val="00735D17"/>
    <w:rsid w:val="007377F4"/>
    <w:rsid w:val="007401CB"/>
    <w:rsid w:val="00740278"/>
    <w:rsid w:val="007404C9"/>
    <w:rsid w:val="0074174C"/>
    <w:rsid w:val="00746219"/>
    <w:rsid w:val="007472E2"/>
    <w:rsid w:val="00755F6F"/>
    <w:rsid w:val="00757125"/>
    <w:rsid w:val="00760D2C"/>
    <w:rsid w:val="007620E0"/>
    <w:rsid w:val="00763AEA"/>
    <w:rsid w:val="0076475D"/>
    <w:rsid w:val="0077058F"/>
    <w:rsid w:val="00770B8A"/>
    <w:rsid w:val="00771E32"/>
    <w:rsid w:val="00775648"/>
    <w:rsid w:val="00776C08"/>
    <w:rsid w:val="007779AA"/>
    <w:rsid w:val="0078037F"/>
    <w:rsid w:val="00784DD8"/>
    <w:rsid w:val="00785AF1"/>
    <w:rsid w:val="00786D32"/>
    <w:rsid w:val="00787A7E"/>
    <w:rsid w:val="00791DC2"/>
    <w:rsid w:val="0079274B"/>
    <w:rsid w:val="007932C4"/>
    <w:rsid w:val="007934B1"/>
    <w:rsid w:val="007942D6"/>
    <w:rsid w:val="00796FF7"/>
    <w:rsid w:val="007A17A6"/>
    <w:rsid w:val="007A376A"/>
    <w:rsid w:val="007A3A9B"/>
    <w:rsid w:val="007A3FA0"/>
    <w:rsid w:val="007A5101"/>
    <w:rsid w:val="007A6819"/>
    <w:rsid w:val="007A7822"/>
    <w:rsid w:val="007B20E1"/>
    <w:rsid w:val="007B2998"/>
    <w:rsid w:val="007B540B"/>
    <w:rsid w:val="007C1C20"/>
    <w:rsid w:val="007C2672"/>
    <w:rsid w:val="007C4097"/>
    <w:rsid w:val="007C44BF"/>
    <w:rsid w:val="007C60BA"/>
    <w:rsid w:val="007C6292"/>
    <w:rsid w:val="007C6C8B"/>
    <w:rsid w:val="007C7CA1"/>
    <w:rsid w:val="007D1893"/>
    <w:rsid w:val="007D5B95"/>
    <w:rsid w:val="007D6438"/>
    <w:rsid w:val="007D79F8"/>
    <w:rsid w:val="007E0271"/>
    <w:rsid w:val="007E2F45"/>
    <w:rsid w:val="007E4BD3"/>
    <w:rsid w:val="007E5327"/>
    <w:rsid w:val="007F228B"/>
    <w:rsid w:val="007F2C44"/>
    <w:rsid w:val="00802C5B"/>
    <w:rsid w:val="00804467"/>
    <w:rsid w:val="00804E90"/>
    <w:rsid w:val="00806254"/>
    <w:rsid w:val="00806FED"/>
    <w:rsid w:val="00807322"/>
    <w:rsid w:val="008112C4"/>
    <w:rsid w:val="00813B0F"/>
    <w:rsid w:val="00814403"/>
    <w:rsid w:val="008145E3"/>
    <w:rsid w:val="00815FE7"/>
    <w:rsid w:val="00820FD5"/>
    <w:rsid w:val="0082214E"/>
    <w:rsid w:val="00822161"/>
    <w:rsid w:val="00822FEA"/>
    <w:rsid w:val="0083045B"/>
    <w:rsid w:val="00830673"/>
    <w:rsid w:val="00830902"/>
    <w:rsid w:val="00836C2E"/>
    <w:rsid w:val="00837B71"/>
    <w:rsid w:val="00840F0E"/>
    <w:rsid w:val="008428D0"/>
    <w:rsid w:val="00844710"/>
    <w:rsid w:val="0084484A"/>
    <w:rsid w:val="008471FC"/>
    <w:rsid w:val="00850501"/>
    <w:rsid w:val="00850E74"/>
    <w:rsid w:val="008514DC"/>
    <w:rsid w:val="0085491D"/>
    <w:rsid w:val="00855ED7"/>
    <w:rsid w:val="00856B17"/>
    <w:rsid w:val="00860E16"/>
    <w:rsid w:val="0086589B"/>
    <w:rsid w:val="00866E72"/>
    <w:rsid w:val="0087044D"/>
    <w:rsid w:val="00870CF0"/>
    <w:rsid w:val="00874C5D"/>
    <w:rsid w:val="00880255"/>
    <w:rsid w:val="0088476D"/>
    <w:rsid w:val="008866AC"/>
    <w:rsid w:val="0089150C"/>
    <w:rsid w:val="0089157D"/>
    <w:rsid w:val="0089268D"/>
    <w:rsid w:val="008961C6"/>
    <w:rsid w:val="008972AB"/>
    <w:rsid w:val="008A23E8"/>
    <w:rsid w:val="008A788D"/>
    <w:rsid w:val="008B0D40"/>
    <w:rsid w:val="008B14D9"/>
    <w:rsid w:val="008B433E"/>
    <w:rsid w:val="008B6464"/>
    <w:rsid w:val="008C12A5"/>
    <w:rsid w:val="008C1387"/>
    <w:rsid w:val="008C18F0"/>
    <w:rsid w:val="008C1A5C"/>
    <w:rsid w:val="008C2BB2"/>
    <w:rsid w:val="008C354B"/>
    <w:rsid w:val="008C3953"/>
    <w:rsid w:val="008C7D5A"/>
    <w:rsid w:val="008D19B9"/>
    <w:rsid w:val="008D20D2"/>
    <w:rsid w:val="008D7013"/>
    <w:rsid w:val="008E29E3"/>
    <w:rsid w:val="008E2CF1"/>
    <w:rsid w:val="008E59E7"/>
    <w:rsid w:val="008E5C77"/>
    <w:rsid w:val="008E5E1F"/>
    <w:rsid w:val="008F23F5"/>
    <w:rsid w:val="008F2534"/>
    <w:rsid w:val="008F25E2"/>
    <w:rsid w:val="008F29C5"/>
    <w:rsid w:val="008F2DA8"/>
    <w:rsid w:val="008F2EC9"/>
    <w:rsid w:val="008F6DF9"/>
    <w:rsid w:val="009053F6"/>
    <w:rsid w:val="00906A58"/>
    <w:rsid w:val="0090720A"/>
    <w:rsid w:val="009075BE"/>
    <w:rsid w:val="00912F7F"/>
    <w:rsid w:val="00915ECA"/>
    <w:rsid w:val="009166D2"/>
    <w:rsid w:val="009169C6"/>
    <w:rsid w:val="00917CB6"/>
    <w:rsid w:val="009201B2"/>
    <w:rsid w:val="00921959"/>
    <w:rsid w:val="0092246F"/>
    <w:rsid w:val="00924BD1"/>
    <w:rsid w:val="00925C57"/>
    <w:rsid w:val="00930333"/>
    <w:rsid w:val="0093059E"/>
    <w:rsid w:val="00932B32"/>
    <w:rsid w:val="00935BC4"/>
    <w:rsid w:val="00945D81"/>
    <w:rsid w:val="00947870"/>
    <w:rsid w:val="00950589"/>
    <w:rsid w:val="00951564"/>
    <w:rsid w:val="0095503F"/>
    <w:rsid w:val="009568E2"/>
    <w:rsid w:val="00957556"/>
    <w:rsid w:val="00960CA8"/>
    <w:rsid w:val="00962B83"/>
    <w:rsid w:val="00966586"/>
    <w:rsid w:val="00966A07"/>
    <w:rsid w:val="00970C00"/>
    <w:rsid w:val="00974746"/>
    <w:rsid w:val="00977473"/>
    <w:rsid w:val="00981CFC"/>
    <w:rsid w:val="009829B2"/>
    <w:rsid w:val="009832B6"/>
    <w:rsid w:val="00984890"/>
    <w:rsid w:val="0098584F"/>
    <w:rsid w:val="009860CB"/>
    <w:rsid w:val="00986A85"/>
    <w:rsid w:val="00986C44"/>
    <w:rsid w:val="00987810"/>
    <w:rsid w:val="00990B11"/>
    <w:rsid w:val="00991CD0"/>
    <w:rsid w:val="009951B3"/>
    <w:rsid w:val="009953B6"/>
    <w:rsid w:val="0099765D"/>
    <w:rsid w:val="009A2E24"/>
    <w:rsid w:val="009A5C14"/>
    <w:rsid w:val="009B0BAF"/>
    <w:rsid w:val="009B1FF0"/>
    <w:rsid w:val="009B22A6"/>
    <w:rsid w:val="009B3CD0"/>
    <w:rsid w:val="009B54FE"/>
    <w:rsid w:val="009B63A9"/>
    <w:rsid w:val="009C0C59"/>
    <w:rsid w:val="009C14EF"/>
    <w:rsid w:val="009C6883"/>
    <w:rsid w:val="009C6F71"/>
    <w:rsid w:val="009D1518"/>
    <w:rsid w:val="009D15FF"/>
    <w:rsid w:val="009D25ED"/>
    <w:rsid w:val="009D2C87"/>
    <w:rsid w:val="009D5152"/>
    <w:rsid w:val="009D6828"/>
    <w:rsid w:val="009D7401"/>
    <w:rsid w:val="009E153A"/>
    <w:rsid w:val="009E41C4"/>
    <w:rsid w:val="009E5A2D"/>
    <w:rsid w:val="009F38A3"/>
    <w:rsid w:val="009F4A11"/>
    <w:rsid w:val="009F54F2"/>
    <w:rsid w:val="009F61E6"/>
    <w:rsid w:val="00A10A24"/>
    <w:rsid w:val="00A13384"/>
    <w:rsid w:val="00A1381A"/>
    <w:rsid w:val="00A143F0"/>
    <w:rsid w:val="00A14440"/>
    <w:rsid w:val="00A174A1"/>
    <w:rsid w:val="00A17FAD"/>
    <w:rsid w:val="00A2237E"/>
    <w:rsid w:val="00A2451A"/>
    <w:rsid w:val="00A25AFF"/>
    <w:rsid w:val="00A27B04"/>
    <w:rsid w:val="00A30C90"/>
    <w:rsid w:val="00A35C40"/>
    <w:rsid w:val="00A40B4C"/>
    <w:rsid w:val="00A40E66"/>
    <w:rsid w:val="00A41136"/>
    <w:rsid w:val="00A45885"/>
    <w:rsid w:val="00A51581"/>
    <w:rsid w:val="00A60E4F"/>
    <w:rsid w:val="00A63814"/>
    <w:rsid w:val="00A64B03"/>
    <w:rsid w:val="00A66801"/>
    <w:rsid w:val="00A70D0B"/>
    <w:rsid w:val="00A73265"/>
    <w:rsid w:val="00A745B3"/>
    <w:rsid w:val="00A80352"/>
    <w:rsid w:val="00A815EE"/>
    <w:rsid w:val="00A822CA"/>
    <w:rsid w:val="00A86BA0"/>
    <w:rsid w:val="00A92DE1"/>
    <w:rsid w:val="00A93715"/>
    <w:rsid w:val="00A945AB"/>
    <w:rsid w:val="00AA3BA9"/>
    <w:rsid w:val="00AA5948"/>
    <w:rsid w:val="00AB11EC"/>
    <w:rsid w:val="00AB3676"/>
    <w:rsid w:val="00AB41D6"/>
    <w:rsid w:val="00AB4D9E"/>
    <w:rsid w:val="00AB5E6F"/>
    <w:rsid w:val="00AB636A"/>
    <w:rsid w:val="00AC3322"/>
    <w:rsid w:val="00AC7C1D"/>
    <w:rsid w:val="00AD13C1"/>
    <w:rsid w:val="00AD2551"/>
    <w:rsid w:val="00AD2B89"/>
    <w:rsid w:val="00AD54A6"/>
    <w:rsid w:val="00AE1B48"/>
    <w:rsid w:val="00AE445E"/>
    <w:rsid w:val="00AE7F20"/>
    <w:rsid w:val="00AF0284"/>
    <w:rsid w:val="00AF6AAD"/>
    <w:rsid w:val="00AF7472"/>
    <w:rsid w:val="00B01946"/>
    <w:rsid w:val="00B0221A"/>
    <w:rsid w:val="00B03163"/>
    <w:rsid w:val="00B11C25"/>
    <w:rsid w:val="00B1224E"/>
    <w:rsid w:val="00B13DB6"/>
    <w:rsid w:val="00B2018B"/>
    <w:rsid w:val="00B20B5F"/>
    <w:rsid w:val="00B24875"/>
    <w:rsid w:val="00B26A7F"/>
    <w:rsid w:val="00B27AB1"/>
    <w:rsid w:val="00B315A3"/>
    <w:rsid w:val="00B34325"/>
    <w:rsid w:val="00B3707F"/>
    <w:rsid w:val="00B37290"/>
    <w:rsid w:val="00B4273E"/>
    <w:rsid w:val="00B44160"/>
    <w:rsid w:val="00B4448F"/>
    <w:rsid w:val="00B4484B"/>
    <w:rsid w:val="00B449BD"/>
    <w:rsid w:val="00B46A01"/>
    <w:rsid w:val="00B508C0"/>
    <w:rsid w:val="00B50B22"/>
    <w:rsid w:val="00B5258E"/>
    <w:rsid w:val="00B543D5"/>
    <w:rsid w:val="00B54587"/>
    <w:rsid w:val="00B55BFF"/>
    <w:rsid w:val="00B56308"/>
    <w:rsid w:val="00B60D64"/>
    <w:rsid w:val="00B64987"/>
    <w:rsid w:val="00B65804"/>
    <w:rsid w:val="00B6591C"/>
    <w:rsid w:val="00B660C1"/>
    <w:rsid w:val="00B80386"/>
    <w:rsid w:val="00B806AC"/>
    <w:rsid w:val="00B81D05"/>
    <w:rsid w:val="00B835EE"/>
    <w:rsid w:val="00B83911"/>
    <w:rsid w:val="00B921CB"/>
    <w:rsid w:val="00B93FC7"/>
    <w:rsid w:val="00B94AEE"/>
    <w:rsid w:val="00B94E31"/>
    <w:rsid w:val="00BA015B"/>
    <w:rsid w:val="00BA279D"/>
    <w:rsid w:val="00BA4402"/>
    <w:rsid w:val="00BA511B"/>
    <w:rsid w:val="00BA7C51"/>
    <w:rsid w:val="00BB1D83"/>
    <w:rsid w:val="00BB3ADE"/>
    <w:rsid w:val="00BB50A4"/>
    <w:rsid w:val="00BB67B0"/>
    <w:rsid w:val="00BC12EE"/>
    <w:rsid w:val="00BC21FE"/>
    <w:rsid w:val="00BC286F"/>
    <w:rsid w:val="00BC6315"/>
    <w:rsid w:val="00BC6435"/>
    <w:rsid w:val="00BC64C0"/>
    <w:rsid w:val="00BC7177"/>
    <w:rsid w:val="00BC7589"/>
    <w:rsid w:val="00BD1111"/>
    <w:rsid w:val="00BD22E6"/>
    <w:rsid w:val="00BD2BE8"/>
    <w:rsid w:val="00BD3B74"/>
    <w:rsid w:val="00BD443A"/>
    <w:rsid w:val="00BD4DF9"/>
    <w:rsid w:val="00BE264C"/>
    <w:rsid w:val="00BE40D4"/>
    <w:rsid w:val="00BE48C4"/>
    <w:rsid w:val="00BE5327"/>
    <w:rsid w:val="00BF05CF"/>
    <w:rsid w:val="00BF4037"/>
    <w:rsid w:val="00BF4C83"/>
    <w:rsid w:val="00BF58BD"/>
    <w:rsid w:val="00BF79F8"/>
    <w:rsid w:val="00C0457F"/>
    <w:rsid w:val="00C06F5C"/>
    <w:rsid w:val="00C115BB"/>
    <w:rsid w:val="00C131A0"/>
    <w:rsid w:val="00C160B9"/>
    <w:rsid w:val="00C17B74"/>
    <w:rsid w:val="00C20898"/>
    <w:rsid w:val="00C226EF"/>
    <w:rsid w:val="00C2759C"/>
    <w:rsid w:val="00C27820"/>
    <w:rsid w:val="00C31AE1"/>
    <w:rsid w:val="00C32B6B"/>
    <w:rsid w:val="00C3300F"/>
    <w:rsid w:val="00C35936"/>
    <w:rsid w:val="00C37533"/>
    <w:rsid w:val="00C446D8"/>
    <w:rsid w:val="00C4689A"/>
    <w:rsid w:val="00C46EBD"/>
    <w:rsid w:val="00C52CFB"/>
    <w:rsid w:val="00C54C63"/>
    <w:rsid w:val="00C5660D"/>
    <w:rsid w:val="00C653AA"/>
    <w:rsid w:val="00C66021"/>
    <w:rsid w:val="00C70DC0"/>
    <w:rsid w:val="00C727F3"/>
    <w:rsid w:val="00C739D7"/>
    <w:rsid w:val="00C741EF"/>
    <w:rsid w:val="00C74995"/>
    <w:rsid w:val="00C75A06"/>
    <w:rsid w:val="00C807A8"/>
    <w:rsid w:val="00C81706"/>
    <w:rsid w:val="00C839AF"/>
    <w:rsid w:val="00C86229"/>
    <w:rsid w:val="00C9069C"/>
    <w:rsid w:val="00C92CDA"/>
    <w:rsid w:val="00C945E1"/>
    <w:rsid w:val="00C97332"/>
    <w:rsid w:val="00CA09F6"/>
    <w:rsid w:val="00CA243C"/>
    <w:rsid w:val="00CA473B"/>
    <w:rsid w:val="00CB0761"/>
    <w:rsid w:val="00CB0BE2"/>
    <w:rsid w:val="00CB277D"/>
    <w:rsid w:val="00CB5112"/>
    <w:rsid w:val="00CB5C15"/>
    <w:rsid w:val="00CB7052"/>
    <w:rsid w:val="00CC1C42"/>
    <w:rsid w:val="00CD294C"/>
    <w:rsid w:val="00CD418B"/>
    <w:rsid w:val="00CD6CDA"/>
    <w:rsid w:val="00CD75AB"/>
    <w:rsid w:val="00CE4A3C"/>
    <w:rsid w:val="00CE647C"/>
    <w:rsid w:val="00CF1231"/>
    <w:rsid w:val="00CF2A13"/>
    <w:rsid w:val="00CF2E18"/>
    <w:rsid w:val="00CF38D8"/>
    <w:rsid w:val="00CF3B91"/>
    <w:rsid w:val="00CF7723"/>
    <w:rsid w:val="00CF7A4E"/>
    <w:rsid w:val="00CF7E30"/>
    <w:rsid w:val="00D005C6"/>
    <w:rsid w:val="00D0121B"/>
    <w:rsid w:val="00D01644"/>
    <w:rsid w:val="00D01BC1"/>
    <w:rsid w:val="00D02891"/>
    <w:rsid w:val="00D03134"/>
    <w:rsid w:val="00D0390E"/>
    <w:rsid w:val="00D05B8B"/>
    <w:rsid w:val="00D070F2"/>
    <w:rsid w:val="00D1161B"/>
    <w:rsid w:val="00D131B2"/>
    <w:rsid w:val="00D14721"/>
    <w:rsid w:val="00D17F5C"/>
    <w:rsid w:val="00D27909"/>
    <w:rsid w:val="00D303D9"/>
    <w:rsid w:val="00D31F94"/>
    <w:rsid w:val="00D32390"/>
    <w:rsid w:val="00D33067"/>
    <w:rsid w:val="00D3767D"/>
    <w:rsid w:val="00D4384A"/>
    <w:rsid w:val="00D47618"/>
    <w:rsid w:val="00D50A67"/>
    <w:rsid w:val="00D512BA"/>
    <w:rsid w:val="00D53EF6"/>
    <w:rsid w:val="00D604EB"/>
    <w:rsid w:val="00D6103E"/>
    <w:rsid w:val="00D61587"/>
    <w:rsid w:val="00D643F4"/>
    <w:rsid w:val="00D6470E"/>
    <w:rsid w:val="00D650AC"/>
    <w:rsid w:val="00D654CE"/>
    <w:rsid w:val="00D656AC"/>
    <w:rsid w:val="00D666E7"/>
    <w:rsid w:val="00D67202"/>
    <w:rsid w:val="00D67C71"/>
    <w:rsid w:val="00D72E66"/>
    <w:rsid w:val="00D77391"/>
    <w:rsid w:val="00D80BF8"/>
    <w:rsid w:val="00D80F2A"/>
    <w:rsid w:val="00D81418"/>
    <w:rsid w:val="00D84C0E"/>
    <w:rsid w:val="00D85183"/>
    <w:rsid w:val="00D9387F"/>
    <w:rsid w:val="00D95A4D"/>
    <w:rsid w:val="00D97FF2"/>
    <w:rsid w:val="00DA02DC"/>
    <w:rsid w:val="00DA15CC"/>
    <w:rsid w:val="00DA1CA4"/>
    <w:rsid w:val="00DA3377"/>
    <w:rsid w:val="00DA4338"/>
    <w:rsid w:val="00DA51DA"/>
    <w:rsid w:val="00DB04FE"/>
    <w:rsid w:val="00DB10D2"/>
    <w:rsid w:val="00DB20F1"/>
    <w:rsid w:val="00DB27DF"/>
    <w:rsid w:val="00DB3140"/>
    <w:rsid w:val="00DB7FA2"/>
    <w:rsid w:val="00DC6B79"/>
    <w:rsid w:val="00DD0106"/>
    <w:rsid w:val="00DD062A"/>
    <w:rsid w:val="00DD3B31"/>
    <w:rsid w:val="00DD3CCD"/>
    <w:rsid w:val="00DD4D42"/>
    <w:rsid w:val="00DD5739"/>
    <w:rsid w:val="00DD5D8F"/>
    <w:rsid w:val="00DE02F2"/>
    <w:rsid w:val="00DE204F"/>
    <w:rsid w:val="00DE2E4A"/>
    <w:rsid w:val="00DE4697"/>
    <w:rsid w:val="00DE5F8F"/>
    <w:rsid w:val="00DF005C"/>
    <w:rsid w:val="00DF0F4D"/>
    <w:rsid w:val="00DF1420"/>
    <w:rsid w:val="00DF35FE"/>
    <w:rsid w:val="00DF375C"/>
    <w:rsid w:val="00DF6731"/>
    <w:rsid w:val="00DF7802"/>
    <w:rsid w:val="00E05649"/>
    <w:rsid w:val="00E0678D"/>
    <w:rsid w:val="00E06878"/>
    <w:rsid w:val="00E06C30"/>
    <w:rsid w:val="00E072E4"/>
    <w:rsid w:val="00E13973"/>
    <w:rsid w:val="00E15722"/>
    <w:rsid w:val="00E1619C"/>
    <w:rsid w:val="00E217E1"/>
    <w:rsid w:val="00E2270D"/>
    <w:rsid w:val="00E22CE0"/>
    <w:rsid w:val="00E24BE1"/>
    <w:rsid w:val="00E26D6E"/>
    <w:rsid w:val="00E306C7"/>
    <w:rsid w:val="00E3169E"/>
    <w:rsid w:val="00E347AC"/>
    <w:rsid w:val="00E36632"/>
    <w:rsid w:val="00E40FFA"/>
    <w:rsid w:val="00E41DF8"/>
    <w:rsid w:val="00E4336B"/>
    <w:rsid w:val="00E44730"/>
    <w:rsid w:val="00E45A89"/>
    <w:rsid w:val="00E463A8"/>
    <w:rsid w:val="00E467B4"/>
    <w:rsid w:val="00E47B63"/>
    <w:rsid w:val="00E53293"/>
    <w:rsid w:val="00E57B00"/>
    <w:rsid w:val="00E6167E"/>
    <w:rsid w:val="00E64C3D"/>
    <w:rsid w:val="00E6556D"/>
    <w:rsid w:val="00E65F32"/>
    <w:rsid w:val="00E7322B"/>
    <w:rsid w:val="00E736AD"/>
    <w:rsid w:val="00E753AE"/>
    <w:rsid w:val="00E76DB1"/>
    <w:rsid w:val="00E91AE4"/>
    <w:rsid w:val="00E96537"/>
    <w:rsid w:val="00E974D1"/>
    <w:rsid w:val="00E97586"/>
    <w:rsid w:val="00EA0FCD"/>
    <w:rsid w:val="00EA15BF"/>
    <w:rsid w:val="00EA2404"/>
    <w:rsid w:val="00EA7792"/>
    <w:rsid w:val="00EB0283"/>
    <w:rsid w:val="00EB14A7"/>
    <w:rsid w:val="00EB21F6"/>
    <w:rsid w:val="00EB2AAD"/>
    <w:rsid w:val="00EB3D60"/>
    <w:rsid w:val="00EB5B7B"/>
    <w:rsid w:val="00EB66D4"/>
    <w:rsid w:val="00EC421E"/>
    <w:rsid w:val="00EC5642"/>
    <w:rsid w:val="00EC5C48"/>
    <w:rsid w:val="00EC73EF"/>
    <w:rsid w:val="00ED4BA3"/>
    <w:rsid w:val="00ED6143"/>
    <w:rsid w:val="00ED7039"/>
    <w:rsid w:val="00EE0095"/>
    <w:rsid w:val="00EE060C"/>
    <w:rsid w:val="00EE115D"/>
    <w:rsid w:val="00EE1744"/>
    <w:rsid w:val="00EE3B4B"/>
    <w:rsid w:val="00EE4123"/>
    <w:rsid w:val="00EE5830"/>
    <w:rsid w:val="00EE6E91"/>
    <w:rsid w:val="00EF0BB9"/>
    <w:rsid w:val="00EF0F74"/>
    <w:rsid w:val="00EF0F80"/>
    <w:rsid w:val="00EF1912"/>
    <w:rsid w:val="00EF2869"/>
    <w:rsid w:val="00EF36C4"/>
    <w:rsid w:val="00EF4E32"/>
    <w:rsid w:val="00EF60F6"/>
    <w:rsid w:val="00EF669F"/>
    <w:rsid w:val="00EF6AA8"/>
    <w:rsid w:val="00EF762B"/>
    <w:rsid w:val="00F036E9"/>
    <w:rsid w:val="00F11C9E"/>
    <w:rsid w:val="00F12981"/>
    <w:rsid w:val="00F16392"/>
    <w:rsid w:val="00F176C7"/>
    <w:rsid w:val="00F17CF4"/>
    <w:rsid w:val="00F25E26"/>
    <w:rsid w:val="00F308FF"/>
    <w:rsid w:val="00F339AE"/>
    <w:rsid w:val="00F33BA3"/>
    <w:rsid w:val="00F34484"/>
    <w:rsid w:val="00F349BB"/>
    <w:rsid w:val="00F40521"/>
    <w:rsid w:val="00F41A88"/>
    <w:rsid w:val="00F471CC"/>
    <w:rsid w:val="00F47D2A"/>
    <w:rsid w:val="00F51230"/>
    <w:rsid w:val="00F54BE5"/>
    <w:rsid w:val="00F57064"/>
    <w:rsid w:val="00F62706"/>
    <w:rsid w:val="00F649AC"/>
    <w:rsid w:val="00F64B24"/>
    <w:rsid w:val="00F65A64"/>
    <w:rsid w:val="00F66F39"/>
    <w:rsid w:val="00F67D95"/>
    <w:rsid w:val="00F74933"/>
    <w:rsid w:val="00F776EA"/>
    <w:rsid w:val="00F80DB0"/>
    <w:rsid w:val="00F81395"/>
    <w:rsid w:val="00F8249B"/>
    <w:rsid w:val="00F834B1"/>
    <w:rsid w:val="00F86562"/>
    <w:rsid w:val="00F86D06"/>
    <w:rsid w:val="00F91930"/>
    <w:rsid w:val="00F92BC6"/>
    <w:rsid w:val="00F975F3"/>
    <w:rsid w:val="00FA1532"/>
    <w:rsid w:val="00FA4ACC"/>
    <w:rsid w:val="00FA76CB"/>
    <w:rsid w:val="00FA7774"/>
    <w:rsid w:val="00FB0791"/>
    <w:rsid w:val="00FB19C6"/>
    <w:rsid w:val="00FB501E"/>
    <w:rsid w:val="00FB571E"/>
    <w:rsid w:val="00FC1B6A"/>
    <w:rsid w:val="00FC1E4E"/>
    <w:rsid w:val="00FC3C2E"/>
    <w:rsid w:val="00FC4643"/>
    <w:rsid w:val="00FD364B"/>
    <w:rsid w:val="00FD5C55"/>
    <w:rsid w:val="00FD69B4"/>
    <w:rsid w:val="00FE0E28"/>
    <w:rsid w:val="00FE2FEB"/>
    <w:rsid w:val="00FE38F9"/>
    <w:rsid w:val="00FE407B"/>
    <w:rsid w:val="00FE7594"/>
    <w:rsid w:val="00FF01AE"/>
    <w:rsid w:val="00FF038C"/>
    <w:rsid w:val="00FF0DC1"/>
    <w:rsid w:val="00FF244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0B8548"/>
  <w15:docId w15:val="{C292775E-C4F5-8E4B-BCBB-D468D3AD5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1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6A85"/>
    <w:pPr>
      <w:ind w:left="720"/>
      <w:contextualSpacing/>
    </w:pPr>
  </w:style>
  <w:style w:type="paragraph" w:styleId="BalloonText">
    <w:name w:val="Balloon Text"/>
    <w:basedOn w:val="Normal"/>
    <w:link w:val="BalloonTextChar"/>
    <w:uiPriority w:val="99"/>
    <w:semiHidden/>
    <w:unhideWhenUsed/>
    <w:rsid w:val="0046604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6049"/>
    <w:rPr>
      <w:rFonts w:ascii="Lucida Grande" w:hAnsi="Lucida Grande" w:cs="Lucida Grande"/>
      <w:sz w:val="18"/>
      <w:szCs w:val="18"/>
    </w:rPr>
  </w:style>
  <w:style w:type="character" w:customStyle="1" w:styleId="InternetLink">
    <w:name w:val="Internet Link"/>
    <w:basedOn w:val="DefaultParagraphFont"/>
    <w:uiPriority w:val="99"/>
    <w:unhideWhenUsed/>
    <w:rsid w:val="000F5044"/>
    <w:rPr>
      <w:color w:val="0563C1" w:themeColor="hyperlink"/>
      <w:u w:val="single"/>
    </w:rPr>
  </w:style>
  <w:style w:type="character" w:styleId="Hyperlink">
    <w:name w:val="Hyperlink"/>
    <w:basedOn w:val="DefaultParagraphFont"/>
    <w:uiPriority w:val="99"/>
    <w:unhideWhenUsed/>
    <w:rsid w:val="00102532"/>
    <w:rPr>
      <w:color w:val="0000FF"/>
      <w:u w:val="single"/>
    </w:rPr>
  </w:style>
  <w:style w:type="paragraph" w:styleId="Bibliography">
    <w:name w:val="Bibliography"/>
    <w:basedOn w:val="Normal"/>
    <w:next w:val="Normal"/>
    <w:uiPriority w:val="37"/>
    <w:unhideWhenUsed/>
    <w:rsid w:val="00353F31"/>
  </w:style>
  <w:style w:type="paragraph" w:customStyle="1" w:styleId="Default">
    <w:name w:val="Default"/>
    <w:rsid w:val="0001281A"/>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ref-journal">
    <w:name w:val="ref-journal"/>
    <w:basedOn w:val="DefaultParagraphFont"/>
    <w:rsid w:val="00066ED7"/>
  </w:style>
  <w:style w:type="character" w:customStyle="1" w:styleId="ref-vol">
    <w:name w:val="ref-vol"/>
    <w:basedOn w:val="DefaultParagraphFont"/>
    <w:rsid w:val="00066ED7"/>
  </w:style>
  <w:style w:type="paragraph" w:styleId="Header">
    <w:name w:val="header"/>
    <w:basedOn w:val="Normal"/>
    <w:link w:val="HeaderChar"/>
    <w:uiPriority w:val="99"/>
    <w:unhideWhenUsed/>
    <w:rsid w:val="002D5AF7"/>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5AF7"/>
  </w:style>
  <w:style w:type="paragraph" w:styleId="Footer">
    <w:name w:val="footer"/>
    <w:basedOn w:val="Normal"/>
    <w:link w:val="FooterChar"/>
    <w:uiPriority w:val="99"/>
    <w:unhideWhenUsed/>
    <w:rsid w:val="002D5AF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5AF7"/>
  </w:style>
  <w:style w:type="character" w:styleId="CommentReference">
    <w:name w:val="annotation reference"/>
    <w:basedOn w:val="DefaultParagraphFont"/>
    <w:uiPriority w:val="99"/>
    <w:semiHidden/>
    <w:unhideWhenUsed/>
    <w:rsid w:val="007934B1"/>
    <w:rPr>
      <w:sz w:val="16"/>
      <w:szCs w:val="16"/>
    </w:rPr>
  </w:style>
  <w:style w:type="paragraph" w:styleId="CommentText">
    <w:name w:val="annotation text"/>
    <w:basedOn w:val="Normal"/>
    <w:link w:val="CommentTextChar"/>
    <w:uiPriority w:val="99"/>
    <w:semiHidden/>
    <w:unhideWhenUsed/>
    <w:rsid w:val="007934B1"/>
    <w:pPr>
      <w:spacing w:line="240" w:lineRule="auto"/>
    </w:pPr>
    <w:rPr>
      <w:sz w:val="20"/>
      <w:szCs w:val="20"/>
    </w:rPr>
  </w:style>
  <w:style w:type="character" w:customStyle="1" w:styleId="CommentTextChar">
    <w:name w:val="Comment Text Char"/>
    <w:basedOn w:val="DefaultParagraphFont"/>
    <w:link w:val="CommentText"/>
    <w:uiPriority w:val="99"/>
    <w:semiHidden/>
    <w:rsid w:val="007934B1"/>
    <w:rPr>
      <w:sz w:val="20"/>
      <w:szCs w:val="20"/>
    </w:rPr>
  </w:style>
  <w:style w:type="paragraph" w:styleId="CommentSubject">
    <w:name w:val="annotation subject"/>
    <w:basedOn w:val="CommentText"/>
    <w:next w:val="CommentText"/>
    <w:link w:val="CommentSubjectChar"/>
    <w:uiPriority w:val="99"/>
    <w:semiHidden/>
    <w:unhideWhenUsed/>
    <w:rsid w:val="007934B1"/>
    <w:rPr>
      <w:b/>
      <w:bCs/>
    </w:rPr>
  </w:style>
  <w:style w:type="character" w:customStyle="1" w:styleId="CommentSubjectChar">
    <w:name w:val="Comment Subject Char"/>
    <w:basedOn w:val="CommentTextChar"/>
    <w:link w:val="CommentSubject"/>
    <w:uiPriority w:val="99"/>
    <w:semiHidden/>
    <w:rsid w:val="007934B1"/>
    <w:rPr>
      <w:b/>
      <w:bCs/>
      <w:sz w:val="20"/>
      <w:szCs w:val="20"/>
    </w:rPr>
  </w:style>
  <w:style w:type="character" w:customStyle="1" w:styleId="value">
    <w:name w:val="value"/>
    <w:basedOn w:val="DefaultParagraphFont"/>
    <w:rsid w:val="00B56308"/>
  </w:style>
  <w:style w:type="character" w:styleId="FollowedHyperlink">
    <w:name w:val="FollowedHyperlink"/>
    <w:basedOn w:val="DefaultParagraphFont"/>
    <w:uiPriority w:val="99"/>
    <w:semiHidden/>
    <w:unhideWhenUsed/>
    <w:rsid w:val="00ED4BA3"/>
    <w:rPr>
      <w:color w:val="954F72" w:themeColor="followedHyperlink"/>
      <w:u w:val="single"/>
    </w:rPr>
  </w:style>
  <w:style w:type="paragraph" w:customStyle="1" w:styleId="MDPI11articletype">
    <w:name w:val="MDPI_1.1_article_type"/>
    <w:next w:val="Normal"/>
    <w:qFormat/>
    <w:rsid w:val="00FE407B"/>
    <w:pPr>
      <w:adjustRightInd w:val="0"/>
      <w:snapToGrid w:val="0"/>
      <w:spacing w:before="240" w:after="0" w:line="240" w:lineRule="auto"/>
    </w:pPr>
    <w:rPr>
      <w:rFonts w:ascii="Palatino Linotype" w:eastAsia="Times New Roman" w:hAnsi="Palatino Linotype" w:cs="Times New Roman"/>
      <w:i/>
      <w:snapToGrid w:val="0"/>
      <w:color w:val="000000"/>
      <w:sz w:val="20"/>
      <w:lang w:val="en-US" w:eastAsia="de-DE" w:bidi="en-US"/>
    </w:rPr>
  </w:style>
  <w:style w:type="paragraph" w:customStyle="1" w:styleId="MDPI12title">
    <w:name w:val="MDPI_1.2_title"/>
    <w:next w:val="Normal"/>
    <w:qFormat/>
    <w:rsid w:val="00FE407B"/>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Normal"/>
    <w:qFormat/>
    <w:rsid w:val="00FE407B"/>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
    <w:next w:val="Normal"/>
    <w:qFormat/>
    <w:rsid w:val="00FE407B"/>
    <w:pPr>
      <w:adjustRightInd w:val="0"/>
      <w:snapToGrid w:val="0"/>
      <w:spacing w:after="0" w:line="240" w:lineRule="atLeast"/>
      <w:ind w:right="113"/>
    </w:pPr>
    <w:rPr>
      <w:rFonts w:ascii="Palatino Linotype" w:eastAsia="Times New Roman" w:hAnsi="Palatino Linotype" w:cs="Times New Roman"/>
      <w:color w:val="000000"/>
      <w:sz w:val="14"/>
      <w:szCs w:val="20"/>
      <w:lang w:val="en-US" w:eastAsia="de-DE" w:bidi="en-US"/>
    </w:rPr>
  </w:style>
  <w:style w:type="paragraph" w:customStyle="1" w:styleId="MDPI15academiceditor">
    <w:name w:val="MDPI_1.5_academic_editor"/>
    <w:qFormat/>
    <w:rsid w:val="00FE407B"/>
    <w:pPr>
      <w:adjustRightInd w:val="0"/>
      <w:snapToGrid w:val="0"/>
      <w:spacing w:before="240" w:after="0" w:line="240" w:lineRule="atLeast"/>
      <w:ind w:right="113"/>
    </w:pPr>
    <w:rPr>
      <w:rFonts w:ascii="Palatino Linotype" w:eastAsia="Times New Roman" w:hAnsi="Palatino Linotype" w:cs="Times New Roman"/>
      <w:color w:val="000000"/>
      <w:sz w:val="14"/>
      <w:lang w:val="en-US" w:eastAsia="de-DE" w:bidi="en-US"/>
    </w:rPr>
  </w:style>
  <w:style w:type="paragraph" w:customStyle="1" w:styleId="MDPI16affiliation">
    <w:name w:val="MDPI_1.6_affiliation"/>
    <w:qFormat/>
    <w:rsid w:val="00FE407B"/>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qFormat/>
    <w:rsid w:val="00FE407B"/>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ormal"/>
    <w:qFormat/>
    <w:rsid w:val="00FE407B"/>
    <w:pPr>
      <w:adjustRightInd w:val="0"/>
      <w:snapToGrid w:val="0"/>
      <w:spacing w:before="240" w:after="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customStyle="1" w:styleId="MDPI19classification">
    <w:name w:val="MDPI_1.9_classification"/>
    <w:qFormat/>
    <w:rsid w:val="00FE407B"/>
    <w:pPr>
      <w:spacing w:before="240" w:after="0" w:line="260" w:lineRule="atLeast"/>
      <w:ind w:left="113"/>
      <w:jc w:val="both"/>
    </w:pPr>
    <w:rPr>
      <w:rFonts w:ascii="Palatino Linotype" w:eastAsia="Times New Roman" w:hAnsi="Palatino Linotype" w:cs="Times New Roman"/>
      <w:b/>
      <w:color w:val="000000"/>
      <w:sz w:val="20"/>
      <w:lang w:val="en-US" w:eastAsia="de-DE" w:bidi="en-US"/>
    </w:rPr>
  </w:style>
  <w:style w:type="paragraph" w:customStyle="1" w:styleId="MDPI19line">
    <w:name w:val="MDPI_1.9_line"/>
    <w:qFormat/>
    <w:rsid w:val="000C763F"/>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val="en-US" w:eastAsia="de-DE" w:bidi="en-US"/>
    </w:rPr>
  </w:style>
  <w:style w:type="paragraph" w:customStyle="1" w:styleId="MDPI21heading1">
    <w:name w:val="MDPI_2.1_heading1"/>
    <w:qFormat/>
    <w:rsid w:val="00FE407B"/>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qFormat/>
    <w:rsid w:val="00FE407B"/>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23heading3">
    <w:name w:val="MDPI_2.3_heading3"/>
    <w:qFormat/>
    <w:rsid w:val="00FE407B"/>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paragraph" w:customStyle="1" w:styleId="MDPI31text">
    <w:name w:val="MDPI_3.1_text"/>
    <w:qFormat/>
    <w:rsid w:val="00FE407B"/>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2textnoindent">
    <w:name w:val="MDPI_3.2_text_no_indent"/>
    <w:basedOn w:val="MDPI31text"/>
    <w:qFormat/>
    <w:rsid w:val="00FE407B"/>
    <w:pPr>
      <w:ind w:firstLine="0"/>
    </w:pPr>
  </w:style>
  <w:style w:type="paragraph" w:customStyle="1" w:styleId="MDPI33textspaceafter">
    <w:name w:val="MDPI_3.3_text_space_after"/>
    <w:qFormat/>
    <w:rsid w:val="00FE407B"/>
    <w:pPr>
      <w:adjustRightInd w:val="0"/>
      <w:snapToGrid w:val="0"/>
      <w:spacing w:after="24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4textspacebefore">
    <w:name w:val="MDPI_3.4_text_space_before"/>
    <w:qFormat/>
    <w:rsid w:val="00FE407B"/>
    <w:pPr>
      <w:adjustRightInd w:val="0"/>
      <w:snapToGrid w:val="0"/>
      <w:spacing w:before="24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5textbeforelist">
    <w:name w:val="MDPI_3.5_text_before_list"/>
    <w:qFormat/>
    <w:rsid w:val="00FE407B"/>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qFormat/>
    <w:rsid w:val="00FE407B"/>
    <w:pPr>
      <w:adjustRightInd w:val="0"/>
      <w:snapToGrid w:val="0"/>
      <w:spacing w:before="12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qFormat/>
    <w:rsid w:val="00FE407B"/>
    <w:pPr>
      <w:numPr>
        <w:numId w:val="8"/>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8bullet">
    <w:name w:val="MDPI_3.8_bullet"/>
    <w:qFormat/>
    <w:rsid w:val="00FE407B"/>
    <w:pPr>
      <w:numPr>
        <w:numId w:val="9"/>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9equation">
    <w:name w:val="MDPI_3.9_equation"/>
    <w:qFormat/>
    <w:rsid w:val="00FE407B"/>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val="en-US" w:eastAsia="de-DE" w:bidi="en-US"/>
    </w:rPr>
  </w:style>
  <w:style w:type="paragraph" w:customStyle="1" w:styleId="MDPI3aequationnumber">
    <w:name w:val="MDPI_3.a_equation_number"/>
    <w:qFormat/>
    <w:rsid w:val="00FE407B"/>
    <w:pPr>
      <w:spacing w:before="120" w:after="120" w:line="240" w:lineRule="auto"/>
      <w:jc w:val="right"/>
    </w:pPr>
    <w:rPr>
      <w:rFonts w:ascii="Palatino Linotype" w:eastAsia="Times New Roman" w:hAnsi="Palatino Linotype" w:cs="Times New Roman"/>
      <w:snapToGrid w:val="0"/>
      <w:color w:val="000000"/>
      <w:sz w:val="20"/>
      <w:lang w:val="en-US" w:eastAsia="de-DE" w:bidi="en-US"/>
    </w:rPr>
  </w:style>
  <w:style w:type="paragraph" w:customStyle="1" w:styleId="MDPI411onetablecaption">
    <w:name w:val="MDPI_4.1.1_one_table_caption"/>
    <w:qFormat/>
    <w:rsid w:val="00FE407B"/>
    <w:pPr>
      <w:adjustRightInd w:val="0"/>
      <w:snapToGrid w:val="0"/>
      <w:spacing w:before="240" w:after="120" w:line="260" w:lineRule="atLeast"/>
      <w:jc w:val="center"/>
    </w:pPr>
    <w:rPr>
      <w:rFonts w:ascii="Palatino Linotype" w:eastAsiaTheme="minorEastAsia" w:hAnsi="Palatino Linotype"/>
      <w:noProof/>
      <w:color w:val="000000"/>
      <w:sz w:val="18"/>
      <w:lang w:val="en-US" w:eastAsia="zh-CN" w:bidi="en-US"/>
    </w:rPr>
  </w:style>
  <w:style w:type="paragraph" w:customStyle="1" w:styleId="MDPI41tablecaption">
    <w:name w:val="MDPI_4.1_table_caption"/>
    <w:qFormat/>
    <w:rsid w:val="00FE407B"/>
    <w:pPr>
      <w:adjustRightInd w:val="0"/>
      <w:snapToGrid w:val="0"/>
      <w:spacing w:before="240" w:after="120" w:line="228" w:lineRule="auto"/>
      <w:ind w:left="2608"/>
    </w:pPr>
    <w:rPr>
      <w:rFonts w:ascii="Palatino Linotype" w:eastAsia="Times New Roman" w:hAnsi="Palatino Linotype"/>
      <w:color w:val="000000"/>
      <w:sz w:val="18"/>
      <w:lang w:val="en-US" w:eastAsia="de-DE" w:bidi="en-US"/>
    </w:rPr>
  </w:style>
  <w:style w:type="table" w:customStyle="1" w:styleId="MDPI41threelinetable">
    <w:name w:val="MDPI_4.1_three_line_table"/>
    <w:basedOn w:val="TableNormal"/>
    <w:uiPriority w:val="99"/>
    <w:rsid w:val="00FE407B"/>
    <w:pPr>
      <w:adjustRightInd w:val="0"/>
      <w:snapToGrid w:val="0"/>
      <w:spacing w:after="0" w:line="240" w:lineRule="auto"/>
      <w:jc w:val="center"/>
    </w:pPr>
    <w:rPr>
      <w:rFonts w:ascii="Palatino Linotype" w:eastAsiaTheme="minorEastAsia" w:hAnsi="Palatino Linotype" w:cs="Times New Roman"/>
      <w:color w:val="000000"/>
      <w:sz w:val="20"/>
      <w:szCs w:val="2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2tablebody">
    <w:name w:val="MDPI_4.2_table_body"/>
    <w:qFormat/>
    <w:rsid w:val="00FE407B"/>
    <w:pPr>
      <w:adjustRightInd w:val="0"/>
      <w:snapToGrid w:val="0"/>
      <w:spacing w:after="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qFormat/>
    <w:rsid w:val="00FE407B"/>
    <w:pPr>
      <w:adjustRightInd w:val="0"/>
      <w:snapToGrid w:val="0"/>
      <w:spacing w:after="240" w:line="228" w:lineRule="auto"/>
      <w:ind w:left="2608"/>
    </w:pPr>
    <w:rPr>
      <w:rFonts w:ascii="Palatino Linotype" w:eastAsia="Times New Roman" w:hAnsi="Palatino Linotype" w:cs="Cordia New"/>
      <w:color w:val="000000"/>
      <w:sz w:val="18"/>
      <w:lang w:val="en-US" w:eastAsia="de-DE" w:bidi="en-US"/>
    </w:rPr>
  </w:style>
  <w:style w:type="paragraph" w:customStyle="1" w:styleId="MDPI511onefigurecaption">
    <w:name w:val="MDPI_5.1.1_one_figure_caption"/>
    <w:qFormat/>
    <w:rsid w:val="00FE407B"/>
    <w:pPr>
      <w:adjustRightInd w:val="0"/>
      <w:snapToGrid w:val="0"/>
      <w:spacing w:before="240" w:after="120" w:line="260" w:lineRule="atLeast"/>
      <w:jc w:val="center"/>
    </w:pPr>
    <w:rPr>
      <w:rFonts w:ascii="Palatino Linotype" w:eastAsiaTheme="minorEastAsia" w:hAnsi="Palatino Linotype" w:cs="Times New Roman"/>
      <w:noProof/>
      <w:color w:val="000000"/>
      <w:sz w:val="18"/>
      <w:szCs w:val="20"/>
      <w:lang w:val="en-US" w:eastAsia="zh-CN" w:bidi="en-US"/>
    </w:rPr>
  </w:style>
  <w:style w:type="paragraph" w:customStyle="1" w:styleId="MDPI51figurecaption">
    <w:name w:val="MDPI_5.1_figure_caption"/>
    <w:qFormat/>
    <w:rsid w:val="00FE407B"/>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FE407B"/>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61Citation">
    <w:name w:val="MDPI_6.1_Citation"/>
    <w:qFormat/>
    <w:rsid w:val="00FE407B"/>
    <w:pPr>
      <w:adjustRightInd w:val="0"/>
      <w:snapToGrid w:val="0"/>
      <w:spacing w:after="0" w:line="240" w:lineRule="atLeast"/>
      <w:ind w:right="113"/>
    </w:pPr>
    <w:rPr>
      <w:rFonts w:ascii="Palatino Linotype" w:eastAsiaTheme="minorEastAsia" w:hAnsi="Palatino Linotype"/>
      <w:sz w:val="14"/>
      <w:lang w:val="en-US" w:eastAsia="zh-CN"/>
    </w:rPr>
  </w:style>
  <w:style w:type="paragraph" w:customStyle="1" w:styleId="MDPI62BackMatter">
    <w:name w:val="MDPI_6.2_BackMatter"/>
    <w:qFormat/>
    <w:rsid w:val="00FE407B"/>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customStyle="1" w:styleId="MDPI63Notes">
    <w:name w:val="MDPI_6.3_Notes"/>
    <w:qFormat/>
    <w:rsid w:val="00FE407B"/>
    <w:pPr>
      <w:adjustRightInd w:val="0"/>
      <w:snapToGrid w:val="0"/>
      <w:spacing w:after="120" w:line="240" w:lineRule="atLeast"/>
      <w:ind w:right="113"/>
    </w:pPr>
    <w:rPr>
      <w:rFonts w:ascii="Palatino Linotype" w:hAnsi="Palatino Linotype" w:cs="Times New Roman"/>
      <w:snapToGrid w:val="0"/>
      <w:color w:val="000000" w:themeColor="text1"/>
      <w:sz w:val="14"/>
      <w:szCs w:val="20"/>
      <w:lang w:val="en-US" w:bidi="en-US"/>
    </w:rPr>
  </w:style>
  <w:style w:type="paragraph" w:customStyle="1" w:styleId="MDPI71FootNotes">
    <w:name w:val="MDPI_7.1_FootNotes"/>
    <w:qFormat/>
    <w:rsid w:val="00FE407B"/>
    <w:pPr>
      <w:numPr>
        <w:numId w:val="10"/>
      </w:numPr>
      <w:adjustRightInd w:val="0"/>
      <w:snapToGrid w:val="0"/>
      <w:spacing w:after="0" w:line="228" w:lineRule="auto"/>
      <w:jc w:val="both"/>
    </w:pPr>
    <w:rPr>
      <w:rFonts w:ascii="Palatino Linotype" w:eastAsiaTheme="minorEastAsia" w:hAnsi="Palatino Linotype" w:cs="Times New Roman"/>
      <w:noProof/>
      <w:color w:val="000000"/>
      <w:sz w:val="18"/>
      <w:szCs w:val="20"/>
      <w:lang w:val="en-US" w:eastAsia="zh-CN"/>
    </w:rPr>
  </w:style>
  <w:style w:type="paragraph" w:customStyle="1" w:styleId="MDPI71References">
    <w:name w:val="MDPI_7.1_References"/>
    <w:qFormat/>
    <w:rsid w:val="00FE407B"/>
    <w:pPr>
      <w:numPr>
        <w:numId w:val="11"/>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paragraph" w:customStyle="1" w:styleId="MDPI72Copyright">
    <w:name w:val="MDPI_7.2_Copyright"/>
    <w:qFormat/>
    <w:rsid w:val="00FE407B"/>
    <w:pPr>
      <w:adjustRightInd w:val="0"/>
      <w:snapToGrid w:val="0"/>
      <w:spacing w:before="240" w:after="0" w:line="240" w:lineRule="atLeast"/>
      <w:ind w:right="113"/>
    </w:pPr>
    <w:rPr>
      <w:rFonts w:ascii="Palatino Linotype" w:eastAsia="Times New Roman" w:hAnsi="Palatino Linotype" w:cs="Times New Roman"/>
      <w:noProof/>
      <w:snapToGrid w:val="0"/>
      <w:color w:val="000000"/>
      <w:spacing w:val="-2"/>
      <w:sz w:val="14"/>
      <w:szCs w:val="20"/>
      <w:lang w:val="en-GB" w:eastAsia="en-GB"/>
    </w:rPr>
  </w:style>
  <w:style w:type="paragraph" w:customStyle="1" w:styleId="MDPI73CopyrightImage">
    <w:name w:val="MDPI_7.3_CopyrightImage"/>
    <w:rsid w:val="00FE407B"/>
    <w:pPr>
      <w:adjustRightInd w:val="0"/>
      <w:snapToGrid w:val="0"/>
      <w:spacing w:after="100" w:line="260" w:lineRule="atLeast"/>
      <w:jc w:val="right"/>
    </w:pPr>
    <w:rPr>
      <w:rFonts w:ascii="Palatino Linotype" w:eastAsia="Times New Roman" w:hAnsi="Palatino Linotype" w:cs="Times New Roman"/>
      <w:color w:val="000000"/>
      <w:sz w:val="20"/>
      <w:szCs w:val="20"/>
      <w:lang w:val="en-US" w:eastAsia="de-CH"/>
    </w:rPr>
  </w:style>
  <w:style w:type="paragraph" w:customStyle="1" w:styleId="MDPI81theorem">
    <w:name w:val="MDPI_8.1_theorem"/>
    <w:qFormat/>
    <w:rsid w:val="00FE407B"/>
    <w:pPr>
      <w:adjustRightInd w:val="0"/>
      <w:snapToGrid w:val="0"/>
      <w:spacing w:after="0" w:line="228" w:lineRule="auto"/>
      <w:ind w:left="2608"/>
      <w:jc w:val="both"/>
    </w:pPr>
    <w:rPr>
      <w:rFonts w:ascii="Palatino Linotype" w:eastAsia="Times New Roman" w:hAnsi="Palatino Linotype" w:cs="Times New Roman"/>
      <w:i/>
      <w:snapToGrid w:val="0"/>
      <w:color w:val="000000"/>
      <w:sz w:val="20"/>
      <w:lang w:val="en-US" w:eastAsia="de-DE" w:bidi="en-US"/>
    </w:rPr>
  </w:style>
  <w:style w:type="paragraph" w:customStyle="1" w:styleId="MDPI82proof">
    <w:name w:val="MDPI_8.2_proof"/>
    <w:qFormat/>
    <w:rsid w:val="00FE407B"/>
    <w:pPr>
      <w:adjustRightInd w:val="0"/>
      <w:snapToGrid w:val="0"/>
      <w:spacing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equationFram">
    <w:name w:val="MDPI_equationFram"/>
    <w:qFormat/>
    <w:rsid w:val="00FE407B"/>
    <w:pPr>
      <w:adjustRightInd w:val="0"/>
      <w:snapToGrid w:val="0"/>
      <w:spacing w:before="120" w:after="120" w:line="240" w:lineRule="auto"/>
      <w:jc w:val="center"/>
    </w:pPr>
    <w:rPr>
      <w:rFonts w:ascii="Palatino Linotype" w:eastAsia="Times New Roman" w:hAnsi="Palatino Linotype" w:cs="Times New Roman"/>
      <w:snapToGrid w:val="0"/>
      <w:color w:val="000000"/>
      <w:sz w:val="20"/>
      <w:lang w:val="en-US" w:eastAsia="de-DE" w:bidi="en-US"/>
    </w:rPr>
  </w:style>
  <w:style w:type="paragraph" w:customStyle="1" w:styleId="MDPIfooter">
    <w:name w:val="MDPI_footer"/>
    <w:qFormat/>
    <w:rsid w:val="00FE407B"/>
    <w:pPr>
      <w:adjustRightInd w:val="0"/>
      <w:snapToGrid w:val="0"/>
      <w:spacing w:before="120" w:after="0" w:line="260" w:lineRule="atLeast"/>
      <w:jc w:val="center"/>
    </w:pPr>
    <w:rPr>
      <w:rFonts w:ascii="Palatino Linotype" w:eastAsia="Times New Roman" w:hAnsi="Palatino Linotype" w:cs="Times New Roman"/>
      <w:color w:val="000000"/>
      <w:sz w:val="20"/>
      <w:szCs w:val="20"/>
      <w:lang w:val="en-US" w:eastAsia="de-DE"/>
    </w:rPr>
  </w:style>
  <w:style w:type="paragraph" w:customStyle="1" w:styleId="MDPIfooterfirstpage">
    <w:name w:val="MDPI_footer_firstpage"/>
    <w:qFormat/>
    <w:rsid w:val="00FE407B"/>
    <w:pPr>
      <w:tabs>
        <w:tab w:val="right" w:pos="8845"/>
      </w:tabs>
      <w:spacing w:after="0" w:line="160" w:lineRule="exact"/>
    </w:pPr>
    <w:rPr>
      <w:rFonts w:ascii="Palatino Linotype" w:eastAsia="Times New Roman" w:hAnsi="Palatino Linotype" w:cs="Times New Roman"/>
      <w:color w:val="000000"/>
      <w:sz w:val="16"/>
      <w:szCs w:val="20"/>
      <w:lang w:val="en-US" w:eastAsia="de-DE"/>
    </w:rPr>
  </w:style>
  <w:style w:type="paragraph" w:customStyle="1" w:styleId="MDPIheader">
    <w:name w:val="MDPI_header"/>
    <w:qFormat/>
    <w:rsid w:val="00FE407B"/>
    <w:pPr>
      <w:adjustRightInd w:val="0"/>
      <w:snapToGrid w:val="0"/>
      <w:spacing w:after="240" w:line="260" w:lineRule="atLeast"/>
      <w:jc w:val="both"/>
    </w:pPr>
    <w:rPr>
      <w:rFonts w:ascii="Palatino Linotype" w:eastAsia="Times New Roman" w:hAnsi="Palatino Linotype" w:cs="Times New Roman"/>
      <w:iCs/>
      <w:color w:val="000000"/>
      <w:sz w:val="16"/>
      <w:szCs w:val="20"/>
      <w:lang w:val="en-US" w:eastAsia="de-DE"/>
    </w:rPr>
  </w:style>
  <w:style w:type="paragraph" w:customStyle="1" w:styleId="MDPIheadercitation">
    <w:name w:val="MDPI_header_citation"/>
    <w:rsid w:val="00FE407B"/>
    <w:pPr>
      <w:spacing w:after="240" w:line="240" w:lineRule="auto"/>
    </w:pPr>
    <w:rPr>
      <w:rFonts w:ascii="Palatino Linotype" w:eastAsia="Times New Roman" w:hAnsi="Palatino Linotype" w:cs="Times New Roman"/>
      <w:snapToGrid w:val="0"/>
      <w:color w:val="000000"/>
      <w:sz w:val="18"/>
      <w:szCs w:val="20"/>
      <w:lang w:val="en-US" w:eastAsia="de-DE" w:bidi="en-US"/>
    </w:rPr>
  </w:style>
  <w:style w:type="paragraph" w:customStyle="1" w:styleId="MDPIheaderjournallogo">
    <w:name w:val="MDPI_header_journal_logo"/>
    <w:qFormat/>
    <w:rsid w:val="00FE407B"/>
    <w:pPr>
      <w:adjustRightInd w:val="0"/>
      <w:snapToGrid w:val="0"/>
      <w:spacing w:after="0" w:line="260" w:lineRule="atLeast"/>
      <w:jc w:val="both"/>
    </w:pPr>
    <w:rPr>
      <w:rFonts w:ascii="Palatino Linotype" w:eastAsia="Times New Roman" w:hAnsi="Palatino Linotype" w:cs="Times New Roman"/>
      <w:i/>
      <w:color w:val="000000"/>
      <w:sz w:val="24"/>
      <w:lang w:val="en-US" w:eastAsia="de-CH"/>
    </w:rPr>
  </w:style>
  <w:style w:type="paragraph" w:customStyle="1" w:styleId="MDPIheadermdpilogo">
    <w:name w:val="MDPI_header_mdpi_logo"/>
    <w:qFormat/>
    <w:rsid w:val="00FE407B"/>
    <w:pPr>
      <w:adjustRightInd w:val="0"/>
      <w:snapToGrid w:val="0"/>
      <w:spacing w:after="0" w:line="260" w:lineRule="atLeast"/>
      <w:jc w:val="right"/>
    </w:pPr>
    <w:rPr>
      <w:rFonts w:ascii="Palatino Linotype" w:eastAsia="Times New Roman" w:hAnsi="Palatino Linotype" w:cs="Times New Roman"/>
      <w:color w:val="000000"/>
      <w:sz w:val="24"/>
      <w:lang w:val="en-US" w:eastAsia="de-CH"/>
    </w:rPr>
  </w:style>
  <w:style w:type="table" w:customStyle="1" w:styleId="MDPITable">
    <w:name w:val="MDPI_Table"/>
    <w:basedOn w:val="TableNormal"/>
    <w:uiPriority w:val="99"/>
    <w:rsid w:val="00FE407B"/>
    <w:pPr>
      <w:spacing w:after="0" w:line="240" w:lineRule="auto"/>
    </w:pPr>
    <w:rPr>
      <w:rFonts w:ascii="Palatino Linotype" w:hAnsi="Palatino Linotype" w:cs="Times New Roman"/>
      <w:color w:val="000000" w:themeColor="text1"/>
      <w:sz w:val="20"/>
      <w:szCs w:val="20"/>
      <w:lang w:val="en-CA"/>
    </w:rPr>
    <w:tblPr>
      <w:tblCellMar>
        <w:left w:w="0" w:type="dxa"/>
        <w:right w:w="0" w:type="dxa"/>
      </w:tblCellMar>
    </w:tblPr>
  </w:style>
  <w:style w:type="paragraph" w:customStyle="1" w:styleId="MDPItext">
    <w:name w:val="MDPI_text"/>
    <w:qFormat/>
    <w:rsid w:val="00FE407B"/>
    <w:pPr>
      <w:spacing w:after="0" w:line="260" w:lineRule="atLeast"/>
      <w:ind w:left="425" w:right="425" w:firstLine="284"/>
      <w:jc w:val="both"/>
    </w:pPr>
    <w:rPr>
      <w:rFonts w:ascii="Times New Roman" w:eastAsia="Times New Roman" w:hAnsi="Times New Roman" w:cs="Times New Roman"/>
      <w:noProof/>
      <w:snapToGrid w:val="0"/>
      <w:color w:val="000000"/>
      <w:lang w:val="en-US" w:eastAsia="de-DE" w:bidi="en-US"/>
    </w:rPr>
  </w:style>
  <w:style w:type="paragraph" w:customStyle="1" w:styleId="MDPItitle">
    <w:name w:val="MDPI_title"/>
    <w:qFormat/>
    <w:rsid w:val="00FE407B"/>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val="en-US" w:eastAsia="de-DE" w:bidi="en-US"/>
    </w:rPr>
  </w:style>
  <w:style w:type="character" w:styleId="LineNumber">
    <w:name w:val="line number"/>
    <w:uiPriority w:val="99"/>
    <w:rsid w:val="00FE407B"/>
    <w:rPr>
      <w:rFonts w:ascii="Palatino Linotype" w:hAnsi="Palatino Linotype"/>
      <w:sz w:val="16"/>
    </w:rPr>
  </w:style>
  <w:style w:type="paragraph" w:styleId="Revision">
    <w:name w:val="Revision"/>
    <w:hidden/>
    <w:uiPriority w:val="99"/>
    <w:semiHidden/>
    <w:rsid w:val="008D19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dekar@biozentrum.uni-wuerzburg.de"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biosig.unimelb.edu.au/pkcs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46994-A55C-4BC7-A933-E8DD3A484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17</Pages>
  <Words>35862</Words>
  <Characters>204417</Characters>
  <Application>Microsoft Office Word</Application>
  <DocSecurity>0</DocSecurity>
  <Lines>1703</Lines>
  <Paragraphs>479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vt:lpstr>
      <vt:lpstr/>
    </vt:vector>
  </TitlesOfParts>
  <Company/>
  <LinksUpToDate>false</LinksUpToDate>
  <CharactersWithSpaces>239800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MDPI</dc:creator>
  <cp:lastModifiedBy>Microsoft Office User</cp:lastModifiedBy>
  <cp:revision>8</cp:revision>
  <cp:lastPrinted>2022-08-05T03:32:00Z</cp:lastPrinted>
  <dcterms:created xsi:type="dcterms:W3CDTF">2022-08-16T09:58:00Z</dcterms:created>
  <dcterms:modified xsi:type="dcterms:W3CDTF">2022-08-18T19:48:00Z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060f65bf-0f7b-35e1-9f61-41d2eed342f4</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http://www.zotero.org/styles/molecules</vt:lpwstr>
  </property>
  <property fmtid="{D5CDD505-2E9C-101B-9397-08002B2CF9AE}" pid="21" name="Mendeley Recent Style Name 8_1">
    <vt:lpwstr>Molecules</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http://www.zotero.org/styles/molecules</vt:lpwstr>
  </property>
</Properties>
</file>